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62E69" w14:textId="77777777" w:rsidR="00420F3F" w:rsidRPr="00420F3F" w:rsidRDefault="00420F3F" w:rsidP="001E14C0">
      <w:pPr>
        <w:pStyle w:val="Heading2"/>
        <w:rPr>
          <w:rStyle w:val="SubtleEmphasis"/>
          <w:i w:val="0"/>
          <w:iCs w:val="0"/>
          <w:color w:val="AF272F" w:themeColor="accent1"/>
        </w:rPr>
      </w:pPr>
      <w:bookmarkStart w:id="0" w:name="_GoBack"/>
      <w:bookmarkEnd w:id="0"/>
      <w:r w:rsidRPr="00420F3F">
        <w:rPr>
          <w:rStyle w:val="SubtleEmphasis"/>
          <w:i w:val="0"/>
          <w:iCs w:val="0"/>
          <w:color w:val="AF272F" w:themeColor="accent1"/>
        </w:rPr>
        <w:t>ATTENDANCE DATA MATTERS</w:t>
      </w:r>
    </w:p>
    <w:p w14:paraId="174F2E04" w14:textId="77777777" w:rsidR="00420F3F" w:rsidRPr="00E50E74" w:rsidRDefault="00420F3F" w:rsidP="00420F3F">
      <w:pPr>
        <w:rPr>
          <w:lang w:val="en-US"/>
        </w:rPr>
      </w:pPr>
      <w:r w:rsidRPr="00E50E74">
        <w:rPr>
          <w:lang w:val="en-US"/>
        </w:rPr>
        <w:t>Research indicates there is a strong link between school attendance and engagement with student outcomes.</w:t>
      </w:r>
    </w:p>
    <w:p w14:paraId="5A8CE039" w14:textId="6982E031" w:rsidR="00420F3F" w:rsidRPr="001977C8" w:rsidRDefault="00420F3F" w:rsidP="00420F3F">
      <w:pPr>
        <w:rPr>
          <w:sz w:val="24"/>
          <w:lang w:val="en-US"/>
        </w:rPr>
      </w:pPr>
      <w:r w:rsidRPr="00E50E74">
        <w:rPr>
          <w:lang w:val="en-US"/>
        </w:rPr>
        <w:t>There are a number of support mechanism</w:t>
      </w:r>
      <w:r>
        <w:rPr>
          <w:lang w:val="en-US"/>
        </w:rPr>
        <w:t>s</w:t>
      </w:r>
      <w:r w:rsidRPr="00E50E74">
        <w:rPr>
          <w:lang w:val="en-US"/>
        </w:rPr>
        <w:t xml:space="preserve"> to encourage better attendance, greater engagement and practices to improve engagement. These support mechanism</w:t>
      </w:r>
      <w:r>
        <w:rPr>
          <w:lang w:val="en-US"/>
        </w:rPr>
        <w:t>s</w:t>
      </w:r>
      <w:r w:rsidRPr="00E50E74">
        <w:rPr>
          <w:lang w:val="en-US"/>
        </w:rPr>
        <w:t xml:space="preserve"> all rely on the confidence in the quality of the student attendance data across all levels of our system, both for individual students and classes, through to whole school data and the state-wide data against which schools can make meaningful comparisons</w:t>
      </w:r>
      <w:r w:rsidRPr="001977C8">
        <w:rPr>
          <w:sz w:val="24"/>
          <w:lang w:val="en-US"/>
        </w:rPr>
        <w:t>.</w:t>
      </w:r>
    </w:p>
    <w:p w14:paraId="7D2ECD77" w14:textId="77777777" w:rsidR="00420F3F" w:rsidRPr="00420F3F" w:rsidRDefault="00420F3F" w:rsidP="001E14C0">
      <w:pPr>
        <w:pStyle w:val="Heading3"/>
      </w:pPr>
      <w:r w:rsidRPr="00420F3F">
        <w:t>Data quality is important</w:t>
      </w:r>
    </w:p>
    <w:p w14:paraId="078D466B" w14:textId="77777777" w:rsidR="00420F3F" w:rsidRDefault="00420F3F" w:rsidP="00420F3F">
      <w:r>
        <w:t xml:space="preserve">Accurate attendance data is important. Schools regularly use attendance data for monitoring and target setting and the Department also uses the data for reporting, such as the: </w:t>
      </w:r>
    </w:p>
    <w:p w14:paraId="51D337D5" w14:textId="77777777" w:rsidR="00420F3F" w:rsidRPr="0034450B" w:rsidRDefault="00202448" w:rsidP="00420F3F">
      <w:pPr>
        <w:pStyle w:val="Bullet1"/>
        <w:rPr>
          <w:rStyle w:val="Hyperlink"/>
        </w:rPr>
      </w:pPr>
      <w:hyperlink r:id="rId11" w:history="1">
        <w:r w:rsidR="00420F3F" w:rsidRPr="00963433">
          <w:rPr>
            <w:rStyle w:val="Hyperlink"/>
          </w:rPr>
          <w:t>Annual Report to the School Community</w:t>
        </w:r>
      </w:hyperlink>
    </w:p>
    <w:p w14:paraId="2F11D2BA" w14:textId="77777777" w:rsidR="00420F3F" w:rsidRPr="0034450B" w:rsidRDefault="00202448" w:rsidP="00420F3F">
      <w:pPr>
        <w:pStyle w:val="Bullet1"/>
        <w:rPr>
          <w:rStyle w:val="Hyperlink"/>
        </w:rPr>
      </w:pPr>
      <w:hyperlink r:id="rId12" w:history="1">
        <w:r w:rsidR="00420F3F" w:rsidRPr="00963433">
          <w:rPr>
            <w:rStyle w:val="Hyperlink"/>
          </w:rPr>
          <w:t>School Performance Reports</w:t>
        </w:r>
      </w:hyperlink>
    </w:p>
    <w:p w14:paraId="59CDF612" w14:textId="77777777" w:rsidR="00420F3F" w:rsidRDefault="00202448" w:rsidP="00420F3F">
      <w:pPr>
        <w:pStyle w:val="Bullet1"/>
      </w:pPr>
      <w:hyperlink r:id="rId13" w:history="1">
        <w:r w:rsidR="00420F3F" w:rsidRPr="00963433">
          <w:rPr>
            <w:rStyle w:val="Hyperlink"/>
          </w:rPr>
          <w:t>Regional Performance Reporting</w:t>
        </w:r>
      </w:hyperlink>
      <w:r w:rsidR="00420F3F">
        <w:t xml:space="preserve"> </w:t>
      </w:r>
    </w:p>
    <w:p w14:paraId="4D65FBD6" w14:textId="77777777" w:rsidR="00420F3F" w:rsidRDefault="00420F3F" w:rsidP="00420F3F">
      <w:r>
        <w:t>Aggregate level student attendance data are reported in the:</w:t>
      </w:r>
    </w:p>
    <w:p w14:paraId="5C7B1EC7" w14:textId="77777777" w:rsidR="00420F3F" w:rsidRPr="00420F3F" w:rsidRDefault="00202448" w:rsidP="00420F3F">
      <w:pPr>
        <w:pStyle w:val="Bullet1"/>
      </w:pPr>
      <w:hyperlink r:id="rId14" w:history="1">
        <w:r w:rsidR="00420F3F" w:rsidRPr="00420F3F">
          <w:rPr>
            <w:rStyle w:val="Hyperlink"/>
            <w:color w:val="auto"/>
            <w:u w:val="none"/>
          </w:rPr>
          <w:t>State Budget Paper No. 3</w:t>
        </w:r>
      </w:hyperlink>
    </w:p>
    <w:p w14:paraId="7A58908E" w14:textId="77777777" w:rsidR="00420F3F" w:rsidRPr="00420F3F" w:rsidRDefault="00202448" w:rsidP="00420F3F">
      <w:pPr>
        <w:pStyle w:val="Bullet1"/>
      </w:pPr>
      <w:hyperlink r:id="rId15" w:history="1">
        <w:r w:rsidR="00420F3F" w:rsidRPr="00420F3F">
          <w:rPr>
            <w:rStyle w:val="Hyperlink"/>
            <w:color w:val="auto"/>
            <w:u w:val="none"/>
          </w:rPr>
          <w:t>Report on Government Services (RoGS)</w:t>
        </w:r>
      </w:hyperlink>
    </w:p>
    <w:p w14:paraId="32AE96BE" w14:textId="77777777" w:rsidR="00420F3F" w:rsidRPr="00420F3F" w:rsidRDefault="00202448" w:rsidP="00420F3F">
      <w:pPr>
        <w:pStyle w:val="Bullet1"/>
        <w:rPr>
          <w:rStyle w:val="Hyperlink"/>
          <w:color w:val="auto"/>
          <w:u w:val="none"/>
        </w:rPr>
      </w:pPr>
      <w:hyperlink r:id="rId16" w:history="1">
        <w:r w:rsidR="00420F3F" w:rsidRPr="00420F3F">
          <w:rPr>
            <w:rStyle w:val="Hyperlink"/>
            <w:color w:val="auto"/>
            <w:u w:val="none"/>
          </w:rPr>
          <w:t>National Report on Schooling in Australia</w:t>
        </w:r>
      </w:hyperlink>
    </w:p>
    <w:p w14:paraId="6ED9B3F0" w14:textId="77777777" w:rsidR="00420F3F" w:rsidRPr="00420F3F" w:rsidRDefault="00202448" w:rsidP="00420F3F">
      <w:pPr>
        <w:pStyle w:val="Bullet1"/>
      </w:pPr>
      <w:hyperlink r:id="rId17" w:history="1">
        <w:r w:rsidR="00420F3F" w:rsidRPr="00420F3F">
          <w:rPr>
            <w:rStyle w:val="Hyperlink"/>
            <w:color w:val="auto"/>
            <w:u w:val="none"/>
          </w:rPr>
          <w:t>My School</w:t>
        </w:r>
      </w:hyperlink>
    </w:p>
    <w:p w14:paraId="30D8F1E1" w14:textId="77777777" w:rsidR="00420F3F" w:rsidRDefault="00420F3F" w:rsidP="00420F3F">
      <w:r>
        <w:t xml:space="preserve">From time to time, the Department is required to disclose attendance information for individual students under law (e.g. to assist with policy enquiry or coroner inquest). </w:t>
      </w:r>
    </w:p>
    <w:p w14:paraId="0DC4099A" w14:textId="1D29277B" w:rsidR="00420F3F" w:rsidRDefault="00420F3F" w:rsidP="001E14C0">
      <w:pPr>
        <w:pStyle w:val="Heading3"/>
        <w:rPr>
          <w:lang w:val="en-US"/>
        </w:rPr>
      </w:pPr>
      <w:r w:rsidRPr="001977C8">
        <w:rPr>
          <w:lang w:val="en-US"/>
        </w:rPr>
        <w:t xml:space="preserve">Legislative </w:t>
      </w:r>
      <w:r w:rsidR="001E14C0">
        <w:rPr>
          <w:lang w:val="en-US"/>
        </w:rPr>
        <w:t>R</w:t>
      </w:r>
      <w:r w:rsidRPr="001977C8">
        <w:rPr>
          <w:lang w:val="en-US"/>
        </w:rPr>
        <w:t>equirements</w:t>
      </w:r>
    </w:p>
    <w:p w14:paraId="34B109A6" w14:textId="77777777" w:rsidR="00420F3F" w:rsidRPr="001977C8" w:rsidRDefault="00420F3F" w:rsidP="00420F3F">
      <w:pPr>
        <w:spacing w:after="0"/>
        <w:rPr>
          <w:lang w:val="en-US"/>
        </w:rPr>
      </w:pPr>
      <w:r>
        <w:rPr>
          <w:lang w:val="en-US"/>
        </w:rPr>
        <w:t xml:space="preserve">The </w:t>
      </w:r>
      <w:r w:rsidRPr="0036489A">
        <w:rPr>
          <w:i/>
          <w:lang w:val="en-US"/>
        </w:rPr>
        <w:t>Education Training and Reform Act 2</w:t>
      </w:r>
      <w:r>
        <w:rPr>
          <w:i/>
          <w:lang w:val="en-US"/>
        </w:rPr>
        <w:t>00</w:t>
      </w:r>
      <w:r w:rsidRPr="0036489A">
        <w:rPr>
          <w:i/>
          <w:lang w:val="en-US"/>
        </w:rPr>
        <w:t>6</w:t>
      </w:r>
      <w:r>
        <w:rPr>
          <w:lang w:val="en-US"/>
        </w:rPr>
        <w:t xml:space="preserve"> states:</w:t>
      </w:r>
    </w:p>
    <w:p w14:paraId="06CC01B2" w14:textId="77777777" w:rsidR="00420F3F" w:rsidRPr="0015614C" w:rsidRDefault="00420F3F" w:rsidP="00420F3F">
      <w:pPr>
        <w:autoSpaceDE w:val="0"/>
        <w:autoSpaceDN w:val="0"/>
        <w:adjustRightInd w:val="0"/>
        <w:spacing w:after="0"/>
        <w:rPr>
          <w:rFonts w:cs="TimesNewRoman,Bold"/>
          <w:b/>
          <w:bCs/>
          <w:i/>
        </w:rPr>
      </w:pPr>
      <w:r w:rsidRPr="0015614C">
        <w:rPr>
          <w:rFonts w:cs="TimesNewRoman,Bold"/>
          <w:b/>
          <w:bCs/>
          <w:i/>
        </w:rPr>
        <w:t>2.1.1 Attendance at school</w:t>
      </w:r>
    </w:p>
    <w:p w14:paraId="5B69BBB7" w14:textId="77777777" w:rsidR="00420F3F" w:rsidRPr="00D97A42" w:rsidRDefault="00420F3F" w:rsidP="00420F3F">
      <w:pPr>
        <w:autoSpaceDE w:val="0"/>
        <w:autoSpaceDN w:val="0"/>
        <w:adjustRightInd w:val="0"/>
        <w:spacing w:after="0"/>
        <w:rPr>
          <w:rFonts w:cs="TimesNewRoman"/>
        </w:rPr>
      </w:pPr>
      <w:r w:rsidRPr="00D97A42">
        <w:rPr>
          <w:rFonts w:cs="TimesNewRoman"/>
        </w:rPr>
        <w:t>It is the duty of the parent of a child of not less</w:t>
      </w:r>
      <w:r>
        <w:rPr>
          <w:rFonts w:cs="TimesNewRoman"/>
        </w:rPr>
        <w:t xml:space="preserve"> than 6 nor more than 17</w:t>
      </w:r>
      <w:r w:rsidRPr="00D97A42">
        <w:rPr>
          <w:rFonts w:cs="TimesNewRoman"/>
        </w:rPr>
        <w:t xml:space="preserve"> years of age</w:t>
      </w:r>
    </w:p>
    <w:p w14:paraId="02534236" w14:textId="77777777" w:rsidR="00420F3F" w:rsidRDefault="00420F3F" w:rsidP="00420F3F">
      <w:pPr>
        <w:pStyle w:val="Numberlist"/>
      </w:pPr>
      <w:r w:rsidRPr="00575F40">
        <w:t xml:space="preserve">to enrol the child at a registered school and to ensure the child attends the school </w:t>
      </w:r>
      <w:r w:rsidRPr="00575F40">
        <w:t>at all times when the school is open for the child's instruction; or</w:t>
      </w:r>
    </w:p>
    <w:p w14:paraId="65515014" w14:textId="799E2187" w:rsidR="00420F3F" w:rsidRPr="00420F3F" w:rsidRDefault="00420F3F" w:rsidP="00420F3F">
      <w:pPr>
        <w:pStyle w:val="Numberlist"/>
      </w:pPr>
      <w:r w:rsidRPr="009720B9">
        <w:t xml:space="preserve">to register the child for home schooling in accordance with the regulations and to </w:t>
      </w:r>
    </w:p>
    <w:p w14:paraId="7B7A0067" w14:textId="77777777" w:rsidR="00420F3F" w:rsidRPr="009720B9" w:rsidRDefault="00420F3F" w:rsidP="00420F3F">
      <w:pPr>
        <w:autoSpaceDE w:val="0"/>
        <w:autoSpaceDN w:val="0"/>
        <w:adjustRightInd w:val="0"/>
        <w:rPr>
          <w:rFonts w:cs="TimesNewRoman"/>
        </w:rPr>
      </w:pPr>
      <w:r w:rsidRPr="009720B9">
        <w:rPr>
          <w:rFonts w:cs="TimesNewRoman"/>
        </w:rPr>
        <w:t>ensure that the child receives instruction in accordance with the registration.</w:t>
      </w:r>
    </w:p>
    <w:p w14:paraId="126E7A43" w14:textId="77777777" w:rsidR="00420F3F" w:rsidRPr="0015614C" w:rsidRDefault="00420F3F" w:rsidP="00420F3F">
      <w:pPr>
        <w:autoSpaceDE w:val="0"/>
        <w:autoSpaceDN w:val="0"/>
        <w:adjustRightInd w:val="0"/>
        <w:spacing w:after="0"/>
        <w:rPr>
          <w:rFonts w:cs="TimesNewRoman,Bold"/>
          <w:b/>
          <w:bCs/>
          <w:i/>
        </w:rPr>
      </w:pPr>
      <w:r w:rsidRPr="0015614C">
        <w:rPr>
          <w:rFonts w:cs="TimesNewRoman,Bold"/>
          <w:b/>
          <w:bCs/>
          <w:i/>
        </w:rPr>
        <w:t>4.3.7 Attendance register in registered schools</w:t>
      </w:r>
    </w:p>
    <w:p w14:paraId="64A5300E" w14:textId="37DD8D80" w:rsidR="00420F3F" w:rsidRDefault="00420F3F" w:rsidP="00420F3F">
      <w:r w:rsidRPr="0015614C">
        <w:t>The principal or person in charge of a registered</w:t>
      </w:r>
      <w:r>
        <w:t xml:space="preserve"> </w:t>
      </w:r>
      <w:r w:rsidRPr="0015614C">
        <w:t>school at which children of compulsory school</w:t>
      </w:r>
      <w:r>
        <w:t xml:space="preserve"> age attend </w:t>
      </w:r>
      <w:r w:rsidRPr="0015614C">
        <w:t>must ensure that the attendance of</w:t>
      </w:r>
      <w:r>
        <w:t xml:space="preserve"> </w:t>
      </w:r>
      <w:r w:rsidRPr="0015614C">
        <w:t>those children is</w:t>
      </w:r>
      <w:r>
        <w:t xml:space="preserve"> </w:t>
      </w:r>
      <w:r w:rsidRPr="0015614C">
        <w:t>recorded in an attendance register</w:t>
      </w:r>
      <w:r>
        <w:t xml:space="preserve"> </w:t>
      </w:r>
      <w:r w:rsidRPr="0015614C">
        <w:t xml:space="preserve">in accordance with the </w:t>
      </w:r>
      <w:hyperlink r:id="rId18" w:history="1">
        <w:r w:rsidRPr="00D97A42">
          <w:rPr>
            <w:rStyle w:val="Hyperlink"/>
            <w:rFonts w:cs="TimesNewRoman"/>
          </w:rPr>
          <w:t>regulations</w:t>
        </w:r>
      </w:hyperlink>
      <w:r>
        <w:t>.</w:t>
      </w:r>
    </w:p>
    <w:p w14:paraId="30318864" w14:textId="77777777" w:rsidR="00420F3F" w:rsidRPr="004154B5" w:rsidRDefault="00420F3F" w:rsidP="001E14C0">
      <w:pPr>
        <w:pStyle w:val="Heading3"/>
        <w:rPr>
          <w:lang w:val="en-US"/>
        </w:rPr>
      </w:pPr>
      <w:r w:rsidRPr="004154B5">
        <w:rPr>
          <w:lang w:val="en-US"/>
        </w:rPr>
        <w:t>Student Support Groups</w:t>
      </w:r>
    </w:p>
    <w:p w14:paraId="7B4A718B" w14:textId="7151A11B" w:rsidR="00420F3F" w:rsidRPr="00420F3F" w:rsidRDefault="00420F3F" w:rsidP="00420F3F">
      <w:pPr>
        <w:rPr>
          <w:rFonts w:cs="Segoe UI"/>
          <w:color w:val="004EA8" w:themeColor="hyperlink"/>
          <w:u w:val="single"/>
          <w:lang w:val="en"/>
        </w:rPr>
      </w:pPr>
      <w:r w:rsidRPr="004154B5">
        <w:rPr>
          <w:rFonts w:cs="Segoe UI"/>
          <w:color w:val="202020"/>
          <w:lang w:val="en"/>
        </w:rPr>
        <w:t xml:space="preserve">When student attendance issues are identified and it becomes apparent that a student may require ongoing intensive support in order to remain engaged in school an </w:t>
      </w:r>
      <w:r w:rsidRPr="002D6EF0">
        <w:rPr>
          <w:rFonts w:cs="Segoe UI"/>
          <w:b/>
          <w:color w:val="202020"/>
          <w:lang w:val="en"/>
        </w:rPr>
        <w:t xml:space="preserve">Attendance </w:t>
      </w:r>
      <w:r w:rsidRPr="004154B5">
        <w:rPr>
          <w:rFonts w:cs="Segoe UI"/>
          <w:b/>
          <w:color w:val="202020"/>
          <w:lang w:val="en"/>
        </w:rPr>
        <w:t>Student Support Group</w:t>
      </w:r>
      <w:r w:rsidRPr="004154B5">
        <w:rPr>
          <w:rFonts w:cs="Segoe UI"/>
          <w:color w:val="202020"/>
          <w:lang w:val="en"/>
        </w:rPr>
        <w:t xml:space="preserve"> should be convened by the principal (or nominee).</w:t>
      </w:r>
      <w:r>
        <w:rPr>
          <w:rFonts w:cs="Segoe UI"/>
          <w:color w:val="202020"/>
          <w:lang w:val="en"/>
        </w:rPr>
        <w:t xml:space="preserve"> For more information see: </w:t>
      </w:r>
      <w:hyperlink r:id="rId19" w:history="1">
        <w:r w:rsidRPr="008B28E9">
          <w:rPr>
            <w:rStyle w:val="Hyperlink"/>
            <w:rFonts w:cs="Segoe UI"/>
            <w:lang w:val="en"/>
          </w:rPr>
          <w:t>Student Support Groups</w:t>
        </w:r>
      </w:hyperlink>
    </w:p>
    <w:p w14:paraId="73FE0349" w14:textId="77777777" w:rsidR="00420F3F" w:rsidRPr="001E14C0" w:rsidRDefault="00420F3F" w:rsidP="001E14C0">
      <w:pPr>
        <w:pStyle w:val="Heading3"/>
      </w:pPr>
      <w:r w:rsidRPr="001E14C0">
        <w:t>Student Participation and Engagement</w:t>
      </w:r>
    </w:p>
    <w:p w14:paraId="72D0F7AF" w14:textId="77777777" w:rsidR="00420F3F" w:rsidRPr="00700A84" w:rsidRDefault="00420F3F" w:rsidP="00420F3F">
      <w:pPr>
        <w:rPr>
          <w:lang w:val="en"/>
        </w:rPr>
      </w:pPr>
      <w:r w:rsidRPr="00700A84">
        <w:rPr>
          <w:lang w:val="en"/>
        </w:rPr>
        <w:t>Schools are expected to provide safe, secure, supportive and engaging learning environments so that student participation can be maximised</w:t>
      </w:r>
      <w:r>
        <w:rPr>
          <w:lang w:val="en"/>
        </w:rPr>
        <w:t xml:space="preserve">. For more information see: </w:t>
      </w:r>
      <w:hyperlink r:id="rId20" w:history="1">
        <w:r w:rsidRPr="008B28E9">
          <w:rPr>
            <w:rStyle w:val="Hyperlink"/>
            <w:rFonts w:cs="Segoe UI"/>
            <w:lang w:val="en"/>
          </w:rPr>
          <w:t>Student Participation</w:t>
        </w:r>
      </w:hyperlink>
    </w:p>
    <w:p w14:paraId="55BAF1A1" w14:textId="77777777" w:rsidR="00420F3F" w:rsidRDefault="00420F3F" w:rsidP="00420F3F">
      <w:pPr>
        <w:rPr>
          <w:lang w:val="en"/>
        </w:rPr>
      </w:pPr>
      <w:r w:rsidRPr="00B00BEA">
        <w:rPr>
          <w:lang w:val="en"/>
        </w:rPr>
        <w:t>A high quality Student Engagement Policy that reflects the school community’s aspirations and the unique local context of the school is critical to developing a positive school culture and supporting a school council’s strategic aims</w:t>
      </w:r>
      <w:r>
        <w:rPr>
          <w:lang w:val="en"/>
        </w:rPr>
        <w:t>.</w:t>
      </w:r>
    </w:p>
    <w:p w14:paraId="7FD48D78" w14:textId="77777777" w:rsidR="00420F3F" w:rsidRPr="00B53753" w:rsidRDefault="00420F3F" w:rsidP="00420F3F">
      <w:pPr>
        <w:rPr>
          <w:lang w:val="en"/>
        </w:rPr>
      </w:pPr>
      <w:r>
        <w:rPr>
          <w:lang w:val="en"/>
        </w:rPr>
        <w:t xml:space="preserve">Some of the Department’s student engagement initiatives are outlined </w:t>
      </w:r>
      <w:hyperlink r:id="rId21" w:anchor="/app/content/1664/structure_&amp;_governance%252Fgroups_and_divisions%252Fearly_childhood_and_school_education_group%252F%25E2%2580%258Bwellbeing,_health_and_engagement%25E2%2580%258B" w:history="1">
        <w:r w:rsidRPr="00B00BEA">
          <w:rPr>
            <w:rStyle w:val="Hyperlink"/>
            <w:rFonts w:cs="Segoe UI"/>
            <w:lang w:val="en"/>
          </w:rPr>
          <w:t>here</w:t>
        </w:r>
      </w:hyperlink>
      <w:r>
        <w:rPr>
          <w:rStyle w:val="Hyperlink"/>
          <w:rFonts w:cs="Segoe UI"/>
          <w:lang w:val="en"/>
        </w:rPr>
        <w:t>.</w:t>
      </w:r>
    </w:p>
    <w:p w14:paraId="18442896" w14:textId="77777777" w:rsidR="00420F3F" w:rsidRDefault="00420F3F" w:rsidP="001E14C0">
      <w:pPr>
        <w:pStyle w:val="Heading3"/>
        <w:rPr>
          <w:lang w:val="en-US"/>
        </w:rPr>
      </w:pPr>
      <w:r>
        <w:rPr>
          <w:lang w:val="en-US"/>
        </w:rPr>
        <w:t>Student Absence Learning Plan</w:t>
      </w:r>
    </w:p>
    <w:p w14:paraId="09D5BCDD" w14:textId="77777777" w:rsidR="00420F3F" w:rsidRDefault="00420F3F" w:rsidP="00420F3F">
      <w:r>
        <w:t xml:space="preserve">Student Absence Learning Plans should be implemented to support the education of students who are absent from school for an extended period. They should be developed collaboratively by teachers, students and their parents. </w:t>
      </w:r>
    </w:p>
    <w:p w14:paraId="67BB30DE" w14:textId="77777777" w:rsidR="00420F3F" w:rsidRPr="007A0DEA" w:rsidRDefault="00202448" w:rsidP="00420F3F">
      <w:pPr>
        <w:pStyle w:val="Bullet1"/>
        <w:rPr>
          <w:rFonts w:cs="TimesNewRoman"/>
        </w:rPr>
      </w:pPr>
      <w:hyperlink r:id="rId22" w:history="1">
        <w:r w:rsidR="00420F3F" w:rsidRPr="00955CC3">
          <w:rPr>
            <w:rStyle w:val="Hyperlink"/>
          </w:rPr>
          <w:t>Student Absence Learning Plan Template</w:t>
        </w:r>
      </w:hyperlink>
      <w:r w:rsidR="00420F3F">
        <w:t xml:space="preserve"> </w:t>
      </w:r>
    </w:p>
    <w:p w14:paraId="134E9289" w14:textId="5904F503" w:rsidR="00420F3F" w:rsidRPr="001E14C0" w:rsidRDefault="001E14C0" w:rsidP="001E14C0">
      <w:pPr>
        <w:pStyle w:val="Subtitle"/>
      </w:pPr>
      <w:r>
        <w:t>R</w:t>
      </w:r>
      <w:r w:rsidR="00420F3F" w:rsidRPr="001E14C0">
        <w:t xml:space="preserve">ecording </w:t>
      </w:r>
      <w:r>
        <w:t>A</w:t>
      </w:r>
      <w:r w:rsidR="00420F3F" w:rsidRPr="001E14C0">
        <w:t xml:space="preserve">ttendance </w:t>
      </w:r>
      <w:r>
        <w:t>D</w:t>
      </w:r>
      <w:r w:rsidR="00420F3F" w:rsidRPr="001E14C0">
        <w:t>ata</w:t>
      </w:r>
    </w:p>
    <w:p w14:paraId="48585C19" w14:textId="14BA9C30" w:rsidR="00420F3F" w:rsidRDefault="00420F3F" w:rsidP="00420F3F">
      <w:pPr>
        <w:rPr>
          <w:lang w:val="en"/>
        </w:rPr>
      </w:pPr>
      <w:r w:rsidRPr="00204694">
        <w:rPr>
          <w:lang w:val="en"/>
        </w:rPr>
        <w:t xml:space="preserve">Government schools </w:t>
      </w:r>
      <w:r>
        <w:rPr>
          <w:lang w:val="en"/>
        </w:rPr>
        <w:t>are to</w:t>
      </w:r>
      <w:r w:rsidRPr="00204694">
        <w:rPr>
          <w:lang w:val="en"/>
        </w:rPr>
        <w:t xml:space="preserve"> use CASES21, eCASES21 or third party software which is </w:t>
      </w:r>
      <w:r>
        <w:rPr>
          <w:lang w:val="en"/>
        </w:rPr>
        <w:t xml:space="preserve">deemed </w:t>
      </w:r>
      <w:r w:rsidRPr="00204694">
        <w:rPr>
          <w:lang w:val="en"/>
        </w:rPr>
        <w:t>compatible with CASES21 to record student attendance</w:t>
      </w:r>
      <w:r>
        <w:rPr>
          <w:lang w:val="en"/>
        </w:rPr>
        <w:t xml:space="preserve">. If third party software is used to record student attendance, the data must be uploaded to CASES21 weekly.  </w:t>
      </w:r>
      <w:hyperlink r:id="rId23" w:history="1">
        <w:r w:rsidRPr="00F315C2">
          <w:rPr>
            <w:rStyle w:val="Hyperlink"/>
            <w:rFonts w:cs="Arial"/>
            <w:szCs w:val="22"/>
            <w:lang w:val="en"/>
          </w:rPr>
          <w:t>Chapter 3 of the CASES21 User Guide</w:t>
        </w:r>
      </w:hyperlink>
      <w:r>
        <w:rPr>
          <w:lang w:val="en"/>
        </w:rPr>
        <w:t xml:space="preserve"> details Importing Attendance Records. </w:t>
      </w:r>
    </w:p>
    <w:p w14:paraId="00D20C1E" w14:textId="77777777" w:rsidR="00420F3F" w:rsidRPr="00420F3F" w:rsidRDefault="00420F3F" w:rsidP="001E14C0">
      <w:pPr>
        <w:pStyle w:val="Subtitle"/>
      </w:pPr>
      <w:r w:rsidRPr="00420F3F">
        <w:t>Attendance Coding Advice</w:t>
      </w:r>
    </w:p>
    <w:p w14:paraId="152796FE" w14:textId="23A77CEE" w:rsidR="00420F3F" w:rsidRPr="00CB3877" w:rsidRDefault="00420F3F" w:rsidP="00420F3F">
      <w:r w:rsidRPr="00CB3877">
        <w:t xml:space="preserve">Pages </w:t>
      </w:r>
      <w:r>
        <w:t>9</w:t>
      </w:r>
      <w:r w:rsidRPr="00CB3877">
        <w:t xml:space="preserve"> to 18 of the </w:t>
      </w:r>
      <w:hyperlink r:id="rId24" w:history="1">
        <w:r w:rsidRPr="00412FFC">
          <w:rPr>
            <w:rStyle w:val="Hyperlink"/>
          </w:rPr>
          <w:t>CASES21 Guide</w:t>
        </w:r>
      </w:hyperlink>
      <w:r w:rsidRPr="00CB3877">
        <w:t xml:space="preserve"> provide guidance on the correct codes to use.  The guide also provides advice on how to check the accuracy of the data imported from External Electronic Roll Marking Systems. </w:t>
      </w:r>
    </w:p>
    <w:p w14:paraId="2AD85BAD" w14:textId="7FA3DF6C" w:rsidR="00420F3F" w:rsidRPr="00420F3F" w:rsidRDefault="00420F3F" w:rsidP="001E14C0">
      <w:pPr>
        <w:pStyle w:val="Subtitle"/>
      </w:pPr>
      <w:r w:rsidRPr="00420F3F">
        <w:t xml:space="preserve">Checking and </w:t>
      </w:r>
      <w:r w:rsidR="001E14C0">
        <w:t>V</w:t>
      </w:r>
      <w:r w:rsidRPr="00420F3F">
        <w:t xml:space="preserve">alidating </w:t>
      </w:r>
      <w:r w:rsidR="001E14C0">
        <w:t>D</w:t>
      </w:r>
      <w:r w:rsidRPr="00420F3F">
        <w:t>ata</w:t>
      </w:r>
    </w:p>
    <w:p w14:paraId="4941D32D" w14:textId="55E3F51F" w:rsidR="00420F3F" w:rsidRPr="005D3D93" w:rsidRDefault="00420F3F" w:rsidP="00420F3F">
      <w:r w:rsidRPr="00CB3877">
        <w:t xml:space="preserve">There are two reports in the </w:t>
      </w:r>
      <w:hyperlink r:id="rId25" w:history="1">
        <w:r w:rsidRPr="002466A9">
          <w:rPr>
            <w:rStyle w:val="Hyperlink"/>
          </w:rPr>
          <w:t>School Information Portal</w:t>
        </w:r>
      </w:hyperlink>
      <w:r w:rsidRPr="00CB3877">
        <w:t xml:space="preserve"> that provide information on Student Attendance. The first report provides the Average Number of Absence Days per FTE by year levels. This is the official measure of student absence used for performance reporting. The second report provides information on the number of student</w:t>
      </w:r>
      <w:r>
        <w:t>s</w:t>
      </w:r>
      <w:r w:rsidRPr="00CB3877">
        <w:t xml:space="preserve"> absent against each Absence Type. This second report also allows you to view the data by Month</w:t>
      </w:r>
      <w:r>
        <w:t>,</w:t>
      </w:r>
      <w:r w:rsidRPr="00CB3877">
        <w:t xml:space="preserve"> which is a good way to check whether your student absence data in CASES21 </w:t>
      </w:r>
      <w:r>
        <w:t>is</w:t>
      </w:r>
      <w:r w:rsidRPr="00CB3877">
        <w:t xml:space="preserve"> up to date. </w:t>
      </w:r>
    </w:p>
    <w:p w14:paraId="7D4F46F0" w14:textId="5AE28855" w:rsidR="00420F3F" w:rsidRDefault="00420F3F" w:rsidP="001E14C0">
      <w:pPr>
        <w:pStyle w:val="Heading3"/>
        <w:rPr>
          <w:lang w:val="en-US"/>
        </w:rPr>
      </w:pPr>
      <w:r w:rsidRPr="005D3D93">
        <w:rPr>
          <w:lang w:val="en-US"/>
        </w:rPr>
        <w:t xml:space="preserve">Professional </w:t>
      </w:r>
      <w:r w:rsidR="001E14C0">
        <w:rPr>
          <w:lang w:val="en-US"/>
        </w:rPr>
        <w:t>L</w:t>
      </w:r>
      <w:r w:rsidRPr="005D3D93">
        <w:rPr>
          <w:lang w:val="en-US"/>
        </w:rPr>
        <w:t>earning</w:t>
      </w:r>
    </w:p>
    <w:p w14:paraId="656168C2" w14:textId="18C7FC48" w:rsidR="00420F3F" w:rsidRPr="009720B9" w:rsidRDefault="00420F3F" w:rsidP="00420F3F">
      <w:pPr>
        <w:rPr>
          <w:rFonts w:ascii="Arial" w:eastAsiaTheme="majorEastAsia" w:hAnsi="Arial" w:cstheme="majorBidi"/>
          <w:b/>
          <w:bCs/>
          <w:caps/>
          <w:color w:val="004EA8"/>
          <w:sz w:val="20"/>
          <w:szCs w:val="20"/>
          <w:lang w:val="en-US"/>
        </w:rPr>
      </w:pPr>
      <w:r w:rsidRPr="00D70E93">
        <w:rPr>
          <w:rFonts w:cs="TimesNewRoman"/>
        </w:rPr>
        <w:t xml:space="preserve">A number of modules are available for school staff to support capability building with </w:t>
      </w:r>
      <w:r>
        <w:rPr>
          <w:rFonts w:cs="TimesNewRoman"/>
        </w:rPr>
        <w:t>C</w:t>
      </w:r>
      <w:r w:rsidRPr="00D70E93">
        <w:rPr>
          <w:rFonts w:cs="TimesNewRoman"/>
        </w:rPr>
        <w:t>ASES21. These modules and their dates are outlined</w:t>
      </w:r>
      <w:r w:rsidRPr="00D70E93">
        <w:t xml:space="preserve"> </w:t>
      </w:r>
      <w:hyperlink r:id="rId26" w:history="1">
        <w:r w:rsidRPr="00D70E93">
          <w:rPr>
            <w:rStyle w:val="Hyperlink"/>
          </w:rPr>
          <w:t>here</w:t>
        </w:r>
      </w:hyperlink>
      <w:r w:rsidRPr="00D70E93">
        <w:t>.</w:t>
      </w:r>
      <w:r w:rsidRPr="00414840">
        <w:t xml:space="preserve"> </w:t>
      </w:r>
      <w:r>
        <w:t xml:space="preserve"> </w:t>
      </w:r>
    </w:p>
    <w:p w14:paraId="64FCD92E" w14:textId="77777777" w:rsidR="00420F3F" w:rsidRPr="009720B9" w:rsidRDefault="00420F3F" w:rsidP="001E14C0">
      <w:r w:rsidRPr="00414840">
        <w:t xml:space="preserve">A data literacy </w:t>
      </w:r>
      <w:r>
        <w:t xml:space="preserve">module is also available as part of the </w:t>
      </w:r>
      <w:hyperlink r:id="rId27" w:history="1">
        <w:r w:rsidRPr="00170812">
          <w:rPr>
            <w:rStyle w:val="Hyperlink"/>
            <w:szCs w:val="22"/>
          </w:rPr>
          <w:t>Strategic Management for school leaders</w:t>
        </w:r>
      </w:hyperlink>
      <w:r>
        <w:t xml:space="preserve"> course. </w:t>
      </w:r>
    </w:p>
    <w:p w14:paraId="53249978" w14:textId="06C99B74" w:rsidR="00420F3F" w:rsidRDefault="00420F3F" w:rsidP="00420F3F">
      <w:pPr>
        <w:spacing w:after="0"/>
        <w:rPr>
          <w:rFonts w:ascii="Arial" w:eastAsiaTheme="majorEastAsia" w:hAnsi="Arial" w:cstheme="majorBidi"/>
          <w:b/>
          <w:bCs/>
          <w:caps/>
          <w:color w:val="004EA8"/>
          <w:sz w:val="20"/>
          <w:szCs w:val="20"/>
          <w:lang w:val="en-US"/>
        </w:rPr>
      </w:pPr>
    </w:p>
    <w:p w14:paraId="3E206FAE" w14:textId="77777777" w:rsidR="00420F3F" w:rsidRPr="005D3D93" w:rsidRDefault="00420F3F" w:rsidP="001E14C0">
      <w:pPr>
        <w:pStyle w:val="Heading3"/>
        <w:rPr>
          <w:lang w:val="en-US"/>
        </w:rPr>
      </w:pPr>
      <w:r w:rsidRPr="005D3D93">
        <w:rPr>
          <w:lang w:val="en-US"/>
        </w:rPr>
        <w:t xml:space="preserve">Who can I contact for assistance? </w:t>
      </w:r>
    </w:p>
    <w:p w14:paraId="7D692CF1" w14:textId="28ACB718" w:rsidR="00420F3F" w:rsidRDefault="00420F3F" w:rsidP="001E14C0">
      <w:pPr>
        <w:pStyle w:val="Bullet1"/>
        <w:rPr>
          <w:rStyle w:val="Hyperlink"/>
          <w:rFonts w:cs="TimesNewRoman"/>
          <w:szCs w:val="22"/>
        </w:rPr>
      </w:pPr>
      <w:r w:rsidRPr="000732D9">
        <w:rPr>
          <w:lang w:val="en"/>
        </w:rPr>
        <w:t xml:space="preserve">The </w:t>
      </w:r>
      <w:r w:rsidRPr="000732D9">
        <w:rPr>
          <w:b/>
        </w:rPr>
        <w:t>Wellbeing, Health and Engagement Division</w:t>
      </w:r>
      <w:r w:rsidRPr="000732D9">
        <w:t xml:space="preserve"> can </w:t>
      </w:r>
      <w:r>
        <w:t>assist</w:t>
      </w:r>
      <w:r w:rsidRPr="000732D9">
        <w:t xml:space="preserve"> with policies on </w:t>
      </w:r>
      <w:r w:rsidRPr="005D3D93">
        <w:rPr>
          <w:b/>
        </w:rPr>
        <w:t>student attendance and engagement</w:t>
      </w:r>
      <w:r w:rsidRPr="000732D9">
        <w:t xml:space="preserve">. </w:t>
      </w:r>
      <w:r w:rsidRPr="000732D9">
        <w:t>Please cont</w:t>
      </w:r>
      <w:r>
        <w:t xml:space="preserve">act: </w:t>
      </w:r>
      <w:hyperlink r:id="rId28" w:history="1">
        <w:r w:rsidRPr="001977C8">
          <w:rPr>
            <w:rStyle w:val="Hyperlink"/>
            <w:rFonts w:cs="TimesNewRoman"/>
            <w:szCs w:val="22"/>
          </w:rPr>
          <w:t>student.engagement@edumail.vic.gov.au</w:t>
        </w:r>
      </w:hyperlink>
    </w:p>
    <w:p w14:paraId="46EE055F" w14:textId="77777777" w:rsidR="00420F3F" w:rsidRPr="005D3D93" w:rsidRDefault="00420F3F" w:rsidP="001E14C0">
      <w:pPr>
        <w:pStyle w:val="Bullet1"/>
      </w:pPr>
      <w:r w:rsidRPr="005D3D93">
        <w:rPr>
          <w:b/>
        </w:rPr>
        <w:t>Regional Health and Wellbeing Teams</w:t>
      </w:r>
      <w:r w:rsidRPr="005D3D93">
        <w:t xml:space="preserve"> can provide advice on further attendance improvement strategies and support to schools to broker solutions for complex individual attendance cases. Please contact your regional office to speak to the team.</w:t>
      </w:r>
    </w:p>
    <w:p w14:paraId="3450F60A" w14:textId="2B620948" w:rsidR="00420F3F" w:rsidRPr="005D3D93" w:rsidRDefault="00420F3F" w:rsidP="001E14C0">
      <w:pPr>
        <w:pStyle w:val="Bullet1"/>
        <w:rPr>
          <w:rFonts w:cs="Arial"/>
          <w:color w:val="004EA8" w:themeColor="hyperlink"/>
          <w:u w:val="single"/>
        </w:rPr>
      </w:pPr>
      <w:r w:rsidRPr="005D3D93">
        <w:rPr>
          <w:rFonts w:cs="Arial"/>
          <w:color w:val="000000" w:themeColor="text1"/>
        </w:rPr>
        <w:t xml:space="preserve">The </w:t>
      </w:r>
      <w:r w:rsidRPr="005D3D93">
        <w:rPr>
          <w:rFonts w:cs="Arial"/>
          <w:b/>
          <w:color w:val="000000" w:themeColor="text1"/>
        </w:rPr>
        <w:t>Performance and Evaluation Division</w:t>
      </w:r>
      <w:r w:rsidRPr="005D3D93">
        <w:rPr>
          <w:rFonts w:cs="Arial"/>
          <w:color w:val="000000" w:themeColor="text1"/>
        </w:rPr>
        <w:t xml:space="preserve"> can assist with understanding the data and identifying any potential </w:t>
      </w:r>
      <w:r w:rsidRPr="005D3D93">
        <w:rPr>
          <w:rFonts w:cs="Arial"/>
          <w:b/>
          <w:color w:val="000000" w:themeColor="text1"/>
        </w:rPr>
        <w:t>data quality issues</w:t>
      </w:r>
      <w:r>
        <w:rPr>
          <w:rFonts w:cs="Arial"/>
          <w:b/>
          <w:color w:val="000000" w:themeColor="text1"/>
        </w:rPr>
        <w:t>.</w:t>
      </w:r>
      <w:r w:rsidRPr="005D3D93">
        <w:rPr>
          <w:rFonts w:cs="Arial"/>
          <w:color w:val="000000" w:themeColor="text1"/>
        </w:rPr>
        <w:t xml:space="preserve"> Please contact</w:t>
      </w:r>
      <w:r>
        <w:rPr>
          <w:rFonts w:cs="Arial"/>
          <w:color w:val="000000" w:themeColor="text1"/>
        </w:rPr>
        <w:t>:</w:t>
      </w:r>
      <w:r w:rsidRPr="005D3D93">
        <w:rPr>
          <w:rFonts w:cs="Arial"/>
          <w:color w:val="000000" w:themeColor="text1"/>
        </w:rPr>
        <w:t xml:space="preserve"> </w:t>
      </w:r>
      <w:hyperlink r:id="rId29" w:history="1">
        <w:r w:rsidRPr="005D3D93">
          <w:rPr>
            <w:rStyle w:val="Hyperlink"/>
            <w:rFonts w:cs="Arial"/>
          </w:rPr>
          <w:t>schoolperformancedata@edumail.vic.gov.au</w:t>
        </w:r>
      </w:hyperlink>
    </w:p>
    <w:p w14:paraId="20FBA006" w14:textId="3887BB45" w:rsidR="00420F3F" w:rsidRPr="005D3D93" w:rsidRDefault="00420F3F" w:rsidP="001E14C0">
      <w:pPr>
        <w:pStyle w:val="Bullet1"/>
        <w:rPr>
          <w:rFonts w:cs="Arial"/>
          <w:color w:val="000000" w:themeColor="text1"/>
          <w:szCs w:val="22"/>
        </w:rPr>
      </w:pPr>
      <w:r>
        <w:rPr>
          <w:rFonts w:cs="Arial"/>
          <w:color w:val="000000" w:themeColor="text1"/>
          <w:szCs w:val="22"/>
        </w:rPr>
        <w:t xml:space="preserve">Assistance with using the </w:t>
      </w:r>
      <w:r w:rsidRPr="001977C8">
        <w:rPr>
          <w:rFonts w:cs="Arial"/>
          <w:b/>
          <w:color w:val="000000" w:themeColor="text1"/>
          <w:szCs w:val="22"/>
        </w:rPr>
        <w:t>CASES21</w:t>
      </w:r>
      <w:r>
        <w:rPr>
          <w:rFonts w:cs="Arial"/>
          <w:color w:val="000000" w:themeColor="text1"/>
          <w:szCs w:val="22"/>
        </w:rPr>
        <w:t xml:space="preserve"> system is offered through the </w:t>
      </w:r>
      <w:r w:rsidRPr="005D3D93">
        <w:rPr>
          <w:rFonts w:cs="Arial"/>
          <w:b/>
          <w:color w:val="000000" w:themeColor="text1"/>
          <w:szCs w:val="22"/>
        </w:rPr>
        <w:t>Information Technology Division Service Desk</w:t>
      </w:r>
      <w:r>
        <w:rPr>
          <w:rFonts w:cs="Arial"/>
          <w:color w:val="000000" w:themeColor="text1"/>
          <w:szCs w:val="22"/>
        </w:rPr>
        <w:t xml:space="preserve">. The Service Desk via Service Gateway can be contacted on:  </w:t>
      </w:r>
      <w:hyperlink r:id="rId30" w:history="1">
        <w:r w:rsidRPr="005D3D93">
          <w:rPr>
            <w:rStyle w:val="Hyperlink"/>
            <w:rFonts w:cs="Arial"/>
            <w:szCs w:val="22"/>
            <w:lang w:val="en"/>
          </w:rPr>
          <w:t>https://servicegateway.eduweb.vic.gov.au</w:t>
        </w:r>
      </w:hyperlink>
      <w:r>
        <w:rPr>
          <w:rStyle w:val="Hyperlink"/>
          <w:rFonts w:cs="Arial"/>
          <w:color w:val="000000" w:themeColor="text1"/>
          <w:szCs w:val="22"/>
          <w:lang w:val="en"/>
        </w:rPr>
        <w:t xml:space="preserve"> </w:t>
      </w:r>
      <w:r w:rsidRPr="005D3D93">
        <w:rPr>
          <w:rFonts w:cs="Arial"/>
          <w:color w:val="000000" w:themeColor="text1"/>
          <w:szCs w:val="22"/>
        </w:rPr>
        <w:t>1800 641 943</w:t>
      </w:r>
      <w:r>
        <w:rPr>
          <w:rFonts w:cs="Arial"/>
          <w:color w:val="000000" w:themeColor="text1"/>
          <w:szCs w:val="22"/>
        </w:rPr>
        <w:t xml:space="preserve"> or </w:t>
      </w:r>
      <w:hyperlink r:id="rId31" w:history="1">
        <w:r w:rsidRPr="005D3D93">
          <w:rPr>
            <w:rStyle w:val="Hyperlink"/>
            <w:rFonts w:cs="Arial"/>
            <w:szCs w:val="22"/>
            <w:lang w:val="en"/>
          </w:rPr>
          <w:t>servicedesk@edumail.vic.gov.au</w:t>
        </w:r>
      </w:hyperlink>
      <w:r w:rsidRPr="005D3D93">
        <w:rPr>
          <w:rFonts w:cs="Arial"/>
          <w:color w:val="000000" w:themeColor="text1"/>
          <w:szCs w:val="22"/>
        </w:rPr>
        <w:t xml:space="preserve"> </w:t>
      </w:r>
    </w:p>
    <w:p w14:paraId="7036B71B" w14:textId="5DF6D3B0" w:rsidR="00420F3F" w:rsidRDefault="00420F3F" w:rsidP="00420F3F"/>
    <w:p w14:paraId="3950F060" w14:textId="6B0ACF84" w:rsidR="00122369" w:rsidRPr="00420F3F" w:rsidRDefault="001E14C0" w:rsidP="00420F3F">
      <w:r>
        <w:rPr>
          <w:noProof/>
          <w:lang w:val="en-AU" w:eastAsia="en-AU"/>
        </w:rPr>
        <w:lastRenderedPageBreak/>
        <w:drawing>
          <wp:anchor distT="0" distB="0" distL="114300" distR="114300" simplePos="0" relativeHeight="251661312" behindDoc="1" locked="0" layoutInCell="1" allowOverlap="1" wp14:anchorId="2E1EE303" wp14:editId="14475D65">
            <wp:simplePos x="0" y="0"/>
            <wp:positionH relativeFrom="margin">
              <wp:posOffset>-89732</wp:posOffset>
            </wp:positionH>
            <wp:positionV relativeFrom="page">
              <wp:posOffset>1336469</wp:posOffset>
            </wp:positionV>
            <wp:extent cx="6277610" cy="4175760"/>
            <wp:effectExtent l="0" t="0" r="889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1356.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277610" cy="417576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420F3F" w:rsidSect="00420F3F">
      <w:headerReference w:type="default" r:id="rId33"/>
      <w:footerReference w:type="even" r:id="rId34"/>
      <w:footerReference w:type="default" r:id="rId35"/>
      <w:pgSz w:w="11900" w:h="16840"/>
      <w:pgMar w:top="1985" w:right="1134" w:bottom="1985"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2747F" w14:textId="77777777" w:rsidR="00202448" w:rsidRDefault="00202448" w:rsidP="003967DD">
      <w:pPr>
        <w:spacing w:after="0"/>
      </w:pPr>
      <w:r>
        <w:separator/>
      </w:r>
    </w:p>
  </w:endnote>
  <w:endnote w:type="continuationSeparator" w:id="0">
    <w:p w14:paraId="60E1A767" w14:textId="77777777" w:rsidR="00202448" w:rsidRDefault="0020244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3CA9508E"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959A4">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0372B" w14:textId="77777777" w:rsidR="00202448" w:rsidRDefault="00202448" w:rsidP="003967DD">
      <w:pPr>
        <w:spacing w:after="0"/>
      </w:pPr>
      <w:r>
        <w:separator/>
      </w:r>
    </w:p>
  </w:footnote>
  <w:footnote w:type="continuationSeparator" w:id="0">
    <w:p w14:paraId="25445938" w14:textId="77777777" w:rsidR="00202448" w:rsidRDefault="0020244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1255F15A" w:rsidR="003967DD" w:rsidRDefault="005A4F12">
    <w:pPr>
      <w:pStyle w:val="Header"/>
    </w:pPr>
    <w:r>
      <w:rPr>
        <w:noProof/>
        <w:lang w:val="en-AU" w:eastAsia="en-AU"/>
      </w:rPr>
      <w:drawing>
        <wp:anchor distT="0" distB="0" distL="114300" distR="114300" simplePos="0" relativeHeight="251658240" behindDoc="1" locked="0" layoutInCell="1" allowOverlap="1" wp14:anchorId="091C2A48" wp14:editId="3F2020DA">
          <wp:simplePos x="0" y="0"/>
          <wp:positionH relativeFrom="page">
            <wp:align>left</wp:align>
          </wp:positionH>
          <wp:positionV relativeFrom="page">
            <wp:align>top</wp:align>
          </wp:positionV>
          <wp:extent cx="7560000" cy="106856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portrait_generi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B676C"/>
    <w:multiLevelType w:val="hybridMultilevel"/>
    <w:tmpl w:val="C02ABF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26F6363"/>
    <w:multiLevelType w:val="hybridMultilevel"/>
    <w:tmpl w:val="473671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9739EC"/>
    <w:multiLevelType w:val="hybridMultilevel"/>
    <w:tmpl w:val="C7D4C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C451F4"/>
    <w:multiLevelType w:val="hybridMultilevel"/>
    <w:tmpl w:val="8EE8F8D6"/>
    <w:lvl w:ilvl="0" w:tplc="B916F7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8"/>
  </w:num>
  <w:num w:numId="14">
    <w:abstractNumId w:val="19"/>
  </w:num>
  <w:num w:numId="15">
    <w:abstractNumId w:val="11"/>
  </w:num>
  <w:num w:numId="16">
    <w:abstractNumId w:val="16"/>
  </w:num>
  <w:num w:numId="17">
    <w:abstractNumId w:val="12"/>
  </w:num>
  <w:num w:numId="18">
    <w:abstractNumId w:val="17"/>
  </w:num>
  <w:num w:numId="19">
    <w:abstractNumId w:val="14"/>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A47D4"/>
    <w:rsid w:val="00122369"/>
    <w:rsid w:val="001959A4"/>
    <w:rsid w:val="001D13F9"/>
    <w:rsid w:val="001E14C0"/>
    <w:rsid w:val="00202448"/>
    <w:rsid w:val="002A4A96"/>
    <w:rsid w:val="002E3BED"/>
    <w:rsid w:val="00312720"/>
    <w:rsid w:val="003967DD"/>
    <w:rsid w:val="00420F3F"/>
    <w:rsid w:val="004B2ED6"/>
    <w:rsid w:val="00584366"/>
    <w:rsid w:val="005A4F12"/>
    <w:rsid w:val="00624A55"/>
    <w:rsid w:val="006A25AC"/>
    <w:rsid w:val="007B556E"/>
    <w:rsid w:val="007D3E38"/>
    <w:rsid w:val="007F0CAD"/>
    <w:rsid w:val="008065DA"/>
    <w:rsid w:val="008A74C3"/>
    <w:rsid w:val="008B1737"/>
    <w:rsid w:val="009015AE"/>
    <w:rsid w:val="00A31926"/>
    <w:rsid w:val="00A440A6"/>
    <w:rsid w:val="00E34263"/>
    <w:rsid w:val="00F31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420F3F"/>
    <w:pPr>
      <w:keepNext/>
      <w:keepLines/>
      <w:spacing w:before="40" w:after="0"/>
      <w:outlineLvl w:val="3"/>
    </w:pPr>
    <w:rPr>
      <w:rFonts w:asciiTheme="majorHAnsi" w:eastAsiaTheme="majorEastAsia" w:hAnsiTheme="majorHAnsi" w:cstheme="majorBidi"/>
      <w:i/>
      <w:iCs/>
      <w:color w:val="821D23" w:themeColor="accent1" w:themeShade="BF"/>
    </w:rPr>
  </w:style>
  <w:style w:type="paragraph" w:styleId="Heading5">
    <w:name w:val="heading 5"/>
    <w:basedOn w:val="Normal"/>
    <w:next w:val="Normal"/>
    <w:link w:val="Heading5Char"/>
    <w:uiPriority w:val="9"/>
    <w:unhideWhenUsed/>
    <w:qFormat/>
    <w:rsid w:val="001E14C0"/>
    <w:pPr>
      <w:keepNext/>
      <w:keepLines/>
      <w:spacing w:before="40" w:after="0"/>
      <w:outlineLvl w:val="4"/>
    </w:pPr>
    <w:rPr>
      <w:rFonts w:asciiTheme="majorHAnsi" w:eastAsiaTheme="majorEastAsia" w:hAnsiTheme="majorHAnsi" w:cstheme="majorBidi"/>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Hyperlink">
    <w:name w:val="Hyperlink"/>
    <w:basedOn w:val="DefaultParagraphFont"/>
    <w:uiPriority w:val="99"/>
    <w:unhideWhenUsed/>
    <w:rsid w:val="00420F3F"/>
    <w:rPr>
      <w:color w:val="004EA8" w:themeColor="hyperlink"/>
      <w:u w:val="single"/>
    </w:rPr>
  </w:style>
  <w:style w:type="paragraph" w:styleId="ListParagraph">
    <w:name w:val="List Paragraph"/>
    <w:basedOn w:val="Normal"/>
    <w:uiPriority w:val="34"/>
    <w:qFormat/>
    <w:rsid w:val="00420F3F"/>
    <w:pPr>
      <w:spacing w:after="160" w:line="259" w:lineRule="auto"/>
      <w:ind w:left="720"/>
      <w:contextualSpacing/>
    </w:pPr>
    <w:rPr>
      <w:szCs w:val="22"/>
      <w:lang w:val="en-AU"/>
    </w:rPr>
  </w:style>
  <w:style w:type="character" w:styleId="SubtleEmphasis">
    <w:name w:val="Subtle Emphasis"/>
    <w:basedOn w:val="DefaultParagraphFont"/>
    <w:uiPriority w:val="19"/>
    <w:rsid w:val="00420F3F"/>
    <w:rPr>
      <w:i/>
      <w:iCs/>
      <w:color w:val="808080" w:themeColor="text1" w:themeTint="7F"/>
    </w:rPr>
  </w:style>
  <w:style w:type="paragraph" w:customStyle="1" w:styleId="Style1">
    <w:name w:val="Style1"/>
    <w:basedOn w:val="Normal"/>
    <w:qFormat/>
    <w:rsid w:val="00420F3F"/>
    <w:rPr>
      <w:rFonts w:eastAsiaTheme="majorEastAsia" w:cstheme="majorBidi"/>
      <w:i/>
      <w:color w:val="5A5A59"/>
      <w:sz w:val="24"/>
      <w:lang w:val="en-US"/>
    </w:rPr>
  </w:style>
  <w:style w:type="character" w:customStyle="1" w:styleId="Heading4Char">
    <w:name w:val="Heading 4 Char"/>
    <w:basedOn w:val="DefaultParagraphFont"/>
    <w:link w:val="Heading4"/>
    <w:uiPriority w:val="9"/>
    <w:rsid w:val="00420F3F"/>
    <w:rPr>
      <w:rFonts w:asciiTheme="majorHAnsi" w:eastAsiaTheme="majorEastAsia" w:hAnsiTheme="majorHAnsi" w:cstheme="majorBidi"/>
      <w:i/>
      <w:iCs/>
      <w:color w:val="821D23" w:themeColor="accent1" w:themeShade="BF"/>
      <w:sz w:val="22"/>
    </w:rPr>
  </w:style>
  <w:style w:type="character" w:customStyle="1" w:styleId="Heading5Char">
    <w:name w:val="Heading 5 Char"/>
    <w:basedOn w:val="DefaultParagraphFont"/>
    <w:link w:val="Heading5"/>
    <w:uiPriority w:val="9"/>
    <w:rsid w:val="001E14C0"/>
    <w:rPr>
      <w:rFonts w:asciiTheme="majorHAnsi" w:eastAsiaTheme="majorEastAsia" w:hAnsiTheme="majorHAnsi" w:cstheme="majorBidi"/>
      <w:color w:val="821D23" w:themeColor="accent1" w:themeShade="BF"/>
      <w:sz w:val="22"/>
    </w:rPr>
  </w:style>
  <w:style w:type="paragraph" w:styleId="Subtitle">
    <w:name w:val="Subtitle"/>
    <w:basedOn w:val="Normal"/>
    <w:next w:val="Normal"/>
    <w:link w:val="SubtitleChar"/>
    <w:uiPriority w:val="11"/>
    <w:qFormat/>
    <w:rsid w:val="001E14C0"/>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14C0"/>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F315C2"/>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gate.eduweb.vic.gov.au/sites/RPF/default.aspx" TargetMode="External"/><Relationship Id="rId18" Type="http://schemas.openxmlformats.org/officeDocument/2006/relationships/hyperlink" Target="http://www.legislation.vic.gov.au/Domino/Web_Notes/LDMS/PubStatbook.nsf/f932b66241ecf1b7ca256e92000e23be/575C47EA02890DA4CA25717000217213/$FILE/06-024a.pdf" TargetMode="External"/><Relationship Id="rId26" Type="http://schemas.openxmlformats.org/officeDocument/2006/relationships/hyperlink" Target="https://edugate.eduweb.vic.gov.au/olt/Courses/Forms/Schoolsys.aspx?RootFolder=%2Folt%2FCourses%2FCASES21%20Administration%20and%20Timetabling%2FAttendances&amp;FolderCTID=&amp;View=%7bFE211D76-54BE-441A-86C4-3A8308BE8F88" TargetMode="External"/><Relationship Id="rId3" Type="http://schemas.openxmlformats.org/officeDocument/2006/relationships/customXml" Target="../customXml/item3.xml"/><Relationship Id="rId21" Type="http://schemas.openxmlformats.org/officeDocument/2006/relationships/hyperlink" Target="https://edugate.eduweb.vic.gov.au/sites/i/pages/production.asp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duweb.vic.gov.au/forms/school/spreports/default.asp" TargetMode="External"/><Relationship Id="rId17" Type="http://schemas.openxmlformats.org/officeDocument/2006/relationships/hyperlink" Target="https://myschool.edu.au/" TargetMode="External"/><Relationship Id="rId25" Type="http://schemas.openxmlformats.org/officeDocument/2006/relationships/hyperlink" Target="https://schoolportal.eduweb.vic.gov.au/Pages/default.asp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ugate.eduweb.vic.gov.au/edrms/collaboration/RSGAR/SchoolImprovementCycle/National%20Report%20on%20Schooling%20in%20Australia" TargetMode="External"/><Relationship Id="rId20" Type="http://schemas.openxmlformats.org/officeDocument/2006/relationships/hyperlink" Target="http://www.education.vic.gov.au/school/principals/spag/participation/Pages/participation.aspx" TargetMode="External"/><Relationship Id="rId29" Type="http://schemas.openxmlformats.org/officeDocument/2006/relationships/hyperlink" Target="mailto:schoolperformancedata@edumail.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gate.eduweb.vic.gov.au/edrms/project/fiso/SitePages/AnnualReporting.aspx" TargetMode="External"/><Relationship Id="rId24" Type="http://schemas.openxmlformats.org/officeDocument/2006/relationships/hyperlink" Target="https://edugate.eduweb.vic.gov.au/Services/bussys/cases21/User%20Guides/C21%20ADMINISTRATION%20User%20Guides/Chapter%2003%20Attendance.DOCX"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gate.eduweb.vic.gov.au/edrms/collaboration/RSGAR/SchoolImprovementCycle/Report%20on%20Government%20Services%20(RoGS)" TargetMode="External"/><Relationship Id="rId23" Type="http://schemas.openxmlformats.org/officeDocument/2006/relationships/hyperlink" Target="https://edugate.eduweb.vic.gov.au/Services/bussys/cases21/User%20Guides/C21%20ADMINISTRATION%20User%20Guides/Chapter%2003%20Attendance.DOCX" TargetMode="External"/><Relationship Id="rId28" Type="http://schemas.openxmlformats.org/officeDocument/2006/relationships/hyperlink" Target="mailto:student.engagement@edumail.vic.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ducation.vic.gov.au/school/principals/spag/participation/Pages/supportgroups.aspx" TargetMode="External"/><Relationship Id="rId31" Type="http://schemas.openxmlformats.org/officeDocument/2006/relationships/hyperlink" Target="mailto:servicedesk@edumail.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gate.eduweb.vic.gov.au/edrms/collaboration/RSGAR/SchoolImprovementCycle/State%20Budget%20Paper%20No.%203" TargetMode="External"/><Relationship Id="rId22" Type="http://schemas.openxmlformats.org/officeDocument/2006/relationships/hyperlink" Target="https://edugate.eduweb.vic.gov.au/collaboration/attendanceengagementparentbehaviour/attendance/Attendance%20and%20enrolment%20resources/Student%20Absence%20Learning%20Plan%20template.DOC" TargetMode="External"/><Relationship Id="rId27" Type="http://schemas.openxmlformats.org/officeDocument/2006/relationships/hyperlink" Target="http://www.bastow.vic.edu.au/courses/strategic-management-for-school-leaders-data-literacy" TargetMode="External"/><Relationship Id="rId30" Type="http://schemas.openxmlformats.org/officeDocument/2006/relationships/hyperlink" Target="https://servicegateway.eduweb.vic.gov.au"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693324457BBF47AE6DCE781926C054" ma:contentTypeVersion="13" ma:contentTypeDescription="DET Document" ma:contentTypeScope="" ma:versionID="d2b3dcbc9a1648454e9f4c19b58e2845">
  <xsd:schema xmlns:xsd="http://www.w3.org/2001/XMLSchema" xmlns:xs="http://www.w3.org/2001/XMLSchema" xmlns:p="http://schemas.microsoft.com/office/2006/metadata/properties" xmlns:ns1="http://schemas.microsoft.com/sharepoint/v3" xmlns:ns2="http://schemas.microsoft.com/Sharepoint/v3" xmlns:ns3="1966e606-8b69-4075-9ef8-a409e80aaa70" targetNamespace="http://schemas.microsoft.com/office/2006/metadata/properties" ma:root="true" ma:fieldsID="f4820ce6820c2784ebc80a93a3e56af4" ns1:_="" ns2:_="" ns3:_="">
    <xsd:import namespace="http://schemas.microsoft.com/sharepoint/v3"/>
    <xsd:import namespace="http://schemas.microsoft.com/Sharepoint/v3"/>
    <xsd:import namespace="1966e606-8b69-4075-9ef8-a409e80aaa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TaxCatchAll xmlns="1966e606-8b69-4075-9ef8-a409e80aaa70">
      <Value>12</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13.3.2 Agency Procedures Development</TermName>
          <TermId xmlns="http://schemas.microsoft.com/office/infopath/2007/PartnerControls">229a67ae-1fec-46d6-a277-bd43dbd1d37e</TermId>
        </TermInfo>
      </Terms>
    </DET_EDRMS_RCSTaxHTField0>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49FE896-0786-4C9B-9134-C4DF4BA95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73574-69AF-4A0F-80FF-1A787EDD4175}">
  <ds:schemaRefs>
    <ds:schemaRef ds:uri="http://schemas.microsoft.com/sharepoint/v3/contenttype/forms"/>
  </ds:schemaRefs>
</ds:datastoreItem>
</file>

<file path=customXml/itemProps3.xml><?xml version="1.0" encoding="utf-8"?>
<ds:datastoreItem xmlns:ds="http://schemas.openxmlformats.org/officeDocument/2006/customXml" ds:itemID="{707949B0-5DF0-471F-B335-DD50168812E3}">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3"/>
  </ds:schemaRefs>
</ds:datastoreItem>
</file>

<file path=customXml/itemProps4.xml><?xml version="1.0" encoding="utf-8"?>
<ds:datastoreItem xmlns:ds="http://schemas.openxmlformats.org/officeDocument/2006/customXml" ds:itemID="{78701452-33BB-402A-8023-A71EEA94A7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ROEP, Jennifer</cp:lastModifiedBy>
  <cp:revision>2</cp:revision>
  <dcterms:created xsi:type="dcterms:W3CDTF">2019-06-03T03:11:00Z</dcterms:created>
  <dcterms:modified xsi:type="dcterms:W3CDTF">2019-06-03T03:11:00Z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0x010100C1A95F885C0B4A62AE4D0515D220750C00DB693324457BBF47AE6DCE781926C054</vt:lpwstr>
  </property>
  <property fmtid="{D5CDD505-2E9C-101B-9397-08002B2CF9AE}" pid="3" name="DET_EDRMS_RCS">
    <vt:lpwstr>12;#13.3.2 Agency Procedures Development|229a67ae-1fec-46d6-a277-bd43dbd1d37e</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{7411e574-440c-4e91-a85c-f8e916786128}</vt:lpwstr>
  </property>
  <property fmtid="{D5CDD505-2E9C-101B-9397-08002B2CF9AE}" pid="9" name="RecordPoint_ActiveItemUniqueId">
    <vt:lpwstr>{fe2c8c29-77b1-4f9b-93c0-f51dcd848824}</vt:lpwstr>
  </property>
  <property fmtid="{D5CDD505-2E9C-101B-9397-08002B2CF9AE}" pid="10" name="RecordPoint_ActiveItemWebId">
    <vt:lpwstr>{b85994a7-6956-40d0-8828-f0f0bec9a1f8}</vt:lpwstr>
  </property>
  <property fmtid="{D5CDD505-2E9C-101B-9397-08002B2CF9AE}" pid="11" name="RecordPoint_RecordNumberSubmitted">
    <vt:lpwstr>R2018/0276822</vt:lpwstr>
  </property>
  <property fmtid="{D5CDD505-2E9C-101B-9397-08002B2CF9AE}" pid="12" name="RecordPoint_SubmissionCompleted">
    <vt:lpwstr>2019-01-18T12:26:33.9714797+11:00</vt:lpwstr>
  </property>
</Properties>
</file>