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12" w:rsidRDefault="00FD5112" w:rsidP="00FD5112">
      <w:pPr>
        <w:pStyle w:val="Heading1"/>
        <w:jc w:val="left"/>
      </w:pPr>
      <w:bookmarkStart w:id="0" w:name="_Toc330545099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-552450</wp:posOffset>
                </wp:positionV>
                <wp:extent cx="4324350" cy="361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112" w:rsidRPr="00FD5112" w:rsidRDefault="00FD5112">
                            <w:pPr>
                              <w:rPr>
                                <w:sz w:val="28"/>
                              </w:rPr>
                            </w:pPr>
                            <w:r w:rsidRPr="00FD5112">
                              <w:rPr>
                                <w:sz w:val="28"/>
                              </w:rPr>
                              <w:t>From Year 10 handbook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3.5pt;width:340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" fillcolor="#bfbfbf [2412]" stroked="f" strokeweight=".5pt">
                <v:textbox>
                  <w:txbxContent>
                    <w:p w:rsidR="00FD5112" w:rsidRPr="00FD5112" w:rsidRDefault="00FD5112">
                      <w:pPr>
                        <w:rPr>
                          <w:sz w:val="28"/>
                        </w:rPr>
                      </w:pPr>
                      <w:r w:rsidRPr="00FD5112">
                        <w:rPr>
                          <w:sz w:val="28"/>
                        </w:rPr>
                        <w:t>From Year 10 handbook</w:t>
                      </w:r>
                    </w:p>
                  </w:txbxContent>
                </v:textbox>
              </v:shape>
            </w:pict>
          </mc:Fallback>
        </mc:AlternateContent>
      </w:r>
      <w:r>
        <w:t>What is VCE?</w:t>
      </w:r>
      <w:bookmarkEnd w:id="0"/>
    </w:p>
    <w:p w:rsidR="00FD5112" w:rsidRPr="004E65E3" w:rsidRDefault="00FD5112" w:rsidP="00FD5112"/>
    <w:p w:rsidR="00FD5112" w:rsidRPr="00A541F2" w:rsidRDefault="00FD5112" w:rsidP="00FD5112">
      <w:pPr>
        <w:pStyle w:val="Subtitle"/>
        <w:rPr>
          <w:rFonts w:ascii="Arial Narrow" w:hAnsi="Arial Narrow" w:cs="Times"/>
          <w:b w:val="0"/>
        </w:rPr>
      </w:pPr>
      <w:r w:rsidRPr="00A541F2">
        <w:rPr>
          <w:rFonts w:ascii="Arial Narrow" w:hAnsi="Arial Narrow"/>
        </w:rPr>
        <w:t xml:space="preserve">Victorian Certificate of </w:t>
      </w:r>
      <w:r>
        <w:rPr>
          <w:rFonts w:ascii="Arial Narrow" w:hAnsi="Arial Narrow"/>
        </w:rPr>
        <w:t>Education</w:t>
      </w:r>
    </w:p>
    <w:p w:rsidR="00FD5112" w:rsidRPr="00A541F2" w:rsidRDefault="00FD5112" w:rsidP="00FD5112">
      <w:pPr>
        <w:pStyle w:val="Subtitle"/>
        <w:rPr>
          <w:rFonts w:ascii="Arial Narrow" w:hAnsi="Arial Narrow"/>
        </w:rPr>
      </w:pPr>
      <w:r w:rsidRPr="00A541F2">
        <w:rPr>
          <w:rFonts w:ascii="Arial Narrow" w:hAnsi="Arial Narrow"/>
        </w:rPr>
        <w:t>About the VCE Pathway</w:t>
      </w:r>
    </w:p>
    <w:p w:rsidR="00FD5112" w:rsidRPr="00401DD9" w:rsidRDefault="00FD5112" w:rsidP="00FD5112">
      <w:pPr>
        <w:pStyle w:val="Subtitle"/>
        <w:spacing w:before="120" w:after="120"/>
        <w:rPr>
          <w:rStyle w:val="IntenseEmphasis"/>
          <w:rFonts w:ascii="Arial Narrow" w:hAnsi="Arial Narrow"/>
          <w:i w:val="0"/>
          <w:szCs w:val="22"/>
        </w:rPr>
      </w:pPr>
      <w:r w:rsidRPr="00401DD9">
        <w:rPr>
          <w:rStyle w:val="IntenseEmphasis"/>
          <w:rFonts w:ascii="Arial Narrow" w:hAnsi="Arial Narrow"/>
          <w:i w:val="0"/>
          <w:szCs w:val="22"/>
        </w:rPr>
        <w:t>What is the VCE?</w:t>
      </w:r>
    </w:p>
    <w:p w:rsidR="00FD5112" w:rsidRPr="00A541F2" w:rsidRDefault="00FD5112" w:rsidP="00FD5112">
      <w:pPr>
        <w:jc w:val="both"/>
        <w:rPr>
          <w:rFonts w:ascii="Arial Narrow" w:hAnsi="Arial Narrow"/>
          <w:sz w:val="22"/>
          <w:szCs w:val="22"/>
        </w:rPr>
      </w:pPr>
      <w:r w:rsidRPr="00A541F2">
        <w:rPr>
          <w:rFonts w:ascii="Arial Narrow" w:hAnsi="Arial Narrow"/>
          <w:sz w:val="22"/>
          <w:szCs w:val="22"/>
        </w:rPr>
        <w:t xml:space="preserve">The VCE is the certificate most students in Victoria receive on satisfactory completion of their secondary education.  It is an outstanding qualification that </w:t>
      </w:r>
      <w:proofErr w:type="gramStart"/>
      <w:r w:rsidRPr="00A541F2">
        <w:rPr>
          <w:rFonts w:ascii="Arial Narrow" w:hAnsi="Arial Narrow"/>
          <w:sz w:val="22"/>
          <w:szCs w:val="22"/>
        </w:rPr>
        <w:t>is recognised</w:t>
      </w:r>
      <w:proofErr w:type="gramEnd"/>
      <w:r w:rsidRPr="00A541F2">
        <w:rPr>
          <w:rFonts w:ascii="Arial Narrow" w:hAnsi="Arial Narrow"/>
          <w:sz w:val="22"/>
          <w:szCs w:val="22"/>
        </w:rPr>
        <w:t xml:space="preserve"> around the world.  The VCE provides diverse pathways to further study or training at university or TAFE</w:t>
      </w:r>
      <w:r>
        <w:rPr>
          <w:rFonts w:ascii="Arial Narrow" w:hAnsi="Arial Narrow"/>
          <w:sz w:val="22"/>
          <w:szCs w:val="22"/>
        </w:rPr>
        <w:t>,</w:t>
      </w:r>
      <w:r w:rsidRPr="00A541F2">
        <w:rPr>
          <w:rFonts w:ascii="Arial Narrow" w:hAnsi="Arial Narrow"/>
          <w:sz w:val="22"/>
          <w:szCs w:val="22"/>
        </w:rPr>
        <w:t xml:space="preserve"> and to employment.</w:t>
      </w:r>
    </w:p>
    <w:p w:rsidR="00FD5112" w:rsidRPr="00A541F2" w:rsidRDefault="00FD5112" w:rsidP="00FD5112">
      <w:pPr>
        <w:pStyle w:val="Subtitle"/>
        <w:spacing w:before="240" w:after="120"/>
        <w:rPr>
          <w:rFonts w:ascii="Arial Narrow" w:hAnsi="Arial Narrow"/>
        </w:rPr>
      </w:pPr>
      <w:r w:rsidRPr="00A541F2">
        <w:rPr>
          <w:rFonts w:ascii="Arial Narrow" w:hAnsi="Arial Narrow"/>
        </w:rPr>
        <w:t>When can you start your VCE?</w:t>
      </w:r>
    </w:p>
    <w:p w:rsidR="00FD5112" w:rsidRPr="00A541F2" w:rsidRDefault="00FD5112" w:rsidP="00FD5112">
      <w:pPr>
        <w:jc w:val="both"/>
        <w:rPr>
          <w:rFonts w:ascii="Arial Narrow" w:hAnsi="Arial Narrow"/>
          <w:sz w:val="22"/>
          <w:szCs w:val="22"/>
        </w:rPr>
      </w:pPr>
      <w:r w:rsidRPr="00A541F2">
        <w:rPr>
          <w:rFonts w:ascii="Arial Narrow" w:hAnsi="Arial Narrow"/>
          <w:sz w:val="22"/>
          <w:szCs w:val="22"/>
        </w:rPr>
        <w:t xml:space="preserve">The VCE </w:t>
      </w:r>
      <w:proofErr w:type="gramStart"/>
      <w:r w:rsidRPr="00A541F2">
        <w:rPr>
          <w:rFonts w:ascii="Arial Narrow" w:hAnsi="Arial Narrow"/>
          <w:sz w:val="22"/>
          <w:szCs w:val="22"/>
        </w:rPr>
        <w:t xml:space="preserve">is usually </w:t>
      </w:r>
      <w:r>
        <w:rPr>
          <w:rFonts w:ascii="Arial Narrow" w:hAnsi="Arial Narrow"/>
          <w:sz w:val="22"/>
          <w:szCs w:val="22"/>
        </w:rPr>
        <w:t>done</w:t>
      </w:r>
      <w:proofErr w:type="gramEnd"/>
      <w:r>
        <w:rPr>
          <w:rFonts w:ascii="Arial Narrow" w:hAnsi="Arial Narrow"/>
          <w:sz w:val="22"/>
          <w:szCs w:val="22"/>
        </w:rPr>
        <w:t xml:space="preserve"> in Year 11 and 12 but can b</w:t>
      </w:r>
      <w:r w:rsidRPr="00A541F2">
        <w:rPr>
          <w:rFonts w:ascii="Arial Narrow" w:hAnsi="Arial Narrow"/>
          <w:sz w:val="22"/>
          <w:szCs w:val="22"/>
        </w:rPr>
        <w:t>e started in Year 10.  About half of Victorian Year 10 students take some VCE units.</w:t>
      </w:r>
    </w:p>
    <w:p w:rsidR="00FD5112" w:rsidRPr="00A541F2" w:rsidRDefault="00FD5112" w:rsidP="00FD5112">
      <w:pPr>
        <w:pStyle w:val="Subtitle"/>
        <w:spacing w:before="240" w:after="120"/>
        <w:rPr>
          <w:rFonts w:ascii="Arial Narrow" w:hAnsi="Arial Narrow"/>
        </w:rPr>
      </w:pPr>
      <w:r w:rsidRPr="00A541F2">
        <w:rPr>
          <w:rFonts w:ascii="Arial Narrow" w:hAnsi="Arial Narrow"/>
        </w:rPr>
        <w:t>What studies can you choose?</w:t>
      </w:r>
    </w:p>
    <w:p w:rsidR="00FD5112" w:rsidRPr="000B4D24" w:rsidRDefault="00FD5112" w:rsidP="00FD5112">
      <w:pPr>
        <w:pStyle w:val="Heading2"/>
        <w:jc w:val="both"/>
        <w:rPr>
          <w:rFonts w:ascii="Arial Narrow" w:hAnsi="Arial Narrow"/>
          <w:b w:val="0"/>
          <w:sz w:val="22"/>
          <w:szCs w:val="22"/>
        </w:rPr>
      </w:pPr>
      <w:bookmarkStart w:id="1" w:name="_Toc330545100"/>
      <w:r w:rsidRPr="000B4D24">
        <w:rPr>
          <w:rFonts w:ascii="Arial Narrow" w:hAnsi="Arial Narrow"/>
          <w:b w:val="0"/>
          <w:sz w:val="22"/>
          <w:szCs w:val="22"/>
        </w:rPr>
        <w:t xml:space="preserve">There are over 90 VCE studies, or subjects, and over 30 VCE/VET programs to choose </w:t>
      </w:r>
      <w:proofErr w:type="gramStart"/>
      <w:r w:rsidRPr="000B4D24">
        <w:rPr>
          <w:rFonts w:ascii="Arial Narrow" w:hAnsi="Arial Narrow"/>
          <w:b w:val="0"/>
          <w:sz w:val="22"/>
          <w:szCs w:val="22"/>
        </w:rPr>
        <w:t>from</w:t>
      </w:r>
      <w:proofErr w:type="gramEnd"/>
      <w:r w:rsidRPr="000B4D24">
        <w:rPr>
          <w:rFonts w:ascii="Arial Narrow" w:hAnsi="Arial Narrow"/>
          <w:b w:val="0"/>
          <w:sz w:val="22"/>
          <w:szCs w:val="22"/>
        </w:rPr>
        <w:t xml:space="preserve">.  </w:t>
      </w:r>
      <w:r w:rsidRPr="00401DD9">
        <w:rPr>
          <w:rFonts w:ascii="Arial Narrow" w:hAnsi="Arial Narrow"/>
          <w:sz w:val="22"/>
          <w:szCs w:val="22"/>
        </w:rPr>
        <w:t xml:space="preserve">In Year 10 at St </w:t>
      </w:r>
      <w:proofErr w:type="gramStart"/>
      <w:r w:rsidRPr="00401DD9">
        <w:rPr>
          <w:rFonts w:ascii="Arial Narrow" w:hAnsi="Arial Narrow"/>
          <w:sz w:val="22"/>
          <w:szCs w:val="22"/>
        </w:rPr>
        <w:t>Bede’s</w:t>
      </w:r>
      <w:proofErr w:type="gramEnd"/>
      <w:r w:rsidRPr="00401DD9">
        <w:rPr>
          <w:rFonts w:ascii="Arial Narrow" w:hAnsi="Arial Narrow"/>
          <w:sz w:val="22"/>
          <w:szCs w:val="22"/>
        </w:rPr>
        <w:t xml:space="preserve"> there are a restricted number of subjects available for accelerated studies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  <w:r w:rsidRPr="000B4D24">
        <w:rPr>
          <w:rFonts w:ascii="Arial Narrow" w:hAnsi="Arial Narrow"/>
          <w:b w:val="0"/>
          <w:sz w:val="22"/>
          <w:szCs w:val="22"/>
        </w:rPr>
        <w:t xml:space="preserve">You will find complete lists of VCE studies on the VCAA website.    To </w:t>
      </w:r>
      <w:proofErr w:type="gramStart"/>
      <w:r w:rsidRPr="000B4D24">
        <w:rPr>
          <w:rFonts w:ascii="Arial Narrow" w:hAnsi="Arial Narrow"/>
          <w:b w:val="0"/>
          <w:sz w:val="22"/>
          <w:szCs w:val="22"/>
        </w:rPr>
        <w:t>be awarded</w:t>
      </w:r>
      <w:proofErr w:type="gramEnd"/>
      <w:r w:rsidRPr="000B4D24">
        <w:rPr>
          <w:rFonts w:ascii="Arial Narrow" w:hAnsi="Arial Narrow"/>
          <w:b w:val="0"/>
          <w:sz w:val="22"/>
          <w:szCs w:val="22"/>
        </w:rPr>
        <w:t xml:space="preserve"> the VCE students must satisfactorily complete a minimum of 16 Units.  Each Unit equals a Semester length study.</w:t>
      </w:r>
      <w:bookmarkEnd w:id="1"/>
    </w:p>
    <w:p w:rsidR="00FD5112" w:rsidRPr="000B4D24" w:rsidRDefault="00FD5112" w:rsidP="00FD5112">
      <w:pPr>
        <w:rPr>
          <w:rFonts w:ascii="Arial Narrow" w:hAnsi="Arial Narrow"/>
          <w:sz w:val="28"/>
          <w:szCs w:val="22"/>
        </w:rPr>
      </w:pPr>
    </w:p>
    <w:p w:rsidR="00FD5112" w:rsidRDefault="00FD5112" w:rsidP="00FD5112">
      <w:pPr>
        <w:rPr>
          <w:rFonts w:ascii="Arial Narrow" w:hAnsi="Arial Narrow"/>
          <w:b/>
          <w:sz w:val="28"/>
          <w:szCs w:val="28"/>
        </w:rPr>
      </w:pPr>
    </w:p>
    <w:p w:rsidR="00FD5112" w:rsidRDefault="00FD5112" w:rsidP="00FD5112">
      <w:pPr>
        <w:pStyle w:val="Heading1"/>
        <w:spacing w:after="120"/>
      </w:pPr>
      <w:bookmarkStart w:id="2" w:name="_Toc330545101"/>
      <w:r>
        <w:t>Acceleration Requirements</w:t>
      </w:r>
      <w:bookmarkEnd w:id="2"/>
    </w:p>
    <w:p w:rsidR="00FD5112" w:rsidRPr="000B4D24" w:rsidRDefault="00FD5112" w:rsidP="00FD5112">
      <w:pPr>
        <w:jc w:val="both"/>
        <w:rPr>
          <w:rFonts w:ascii="Arial Narrow" w:hAnsi="Arial Narrow" w:cs="Arial"/>
          <w:sz w:val="22"/>
        </w:rPr>
      </w:pPr>
      <w:r w:rsidRPr="000B4D24">
        <w:rPr>
          <w:rFonts w:ascii="Arial Narrow" w:hAnsi="Arial Narrow" w:cs="Arial"/>
          <w:sz w:val="22"/>
        </w:rPr>
        <w:t xml:space="preserve">Students </w:t>
      </w:r>
      <w:r w:rsidRPr="000B4D24">
        <w:rPr>
          <w:rFonts w:ascii="Arial Narrow" w:hAnsi="Arial Narrow" w:cs="Arial"/>
          <w:b/>
          <w:i/>
          <w:sz w:val="22"/>
          <w:u w:val="single"/>
        </w:rPr>
        <w:t>may apply</w:t>
      </w:r>
      <w:r w:rsidRPr="000B4D24">
        <w:rPr>
          <w:rFonts w:ascii="Arial Narrow" w:hAnsi="Arial Narrow" w:cs="Arial"/>
          <w:sz w:val="22"/>
        </w:rPr>
        <w:t xml:space="preserve"> to take one U</w:t>
      </w:r>
      <w:r>
        <w:rPr>
          <w:rFonts w:ascii="Arial Narrow" w:hAnsi="Arial Narrow" w:cs="Arial"/>
          <w:sz w:val="22"/>
        </w:rPr>
        <w:t>nit 1-2</w:t>
      </w:r>
      <w:r w:rsidRPr="000B4D24">
        <w:rPr>
          <w:rFonts w:ascii="Arial Narrow" w:hAnsi="Arial Narrow" w:cs="Arial"/>
          <w:sz w:val="22"/>
        </w:rPr>
        <w:t xml:space="preserve"> sequence</w:t>
      </w:r>
      <w:r>
        <w:rPr>
          <w:rFonts w:ascii="Arial Narrow" w:hAnsi="Arial Narrow" w:cs="Arial"/>
          <w:sz w:val="22"/>
        </w:rPr>
        <w:t>,</w:t>
      </w:r>
      <w:r w:rsidRPr="000B4D24">
        <w:rPr>
          <w:rFonts w:ascii="Arial Narrow" w:hAnsi="Arial Narrow" w:cs="Arial"/>
          <w:sz w:val="22"/>
        </w:rPr>
        <w:t xml:space="preserve"> </w:t>
      </w:r>
      <w:r w:rsidRPr="00C551FA">
        <w:rPr>
          <w:rFonts w:ascii="Arial Narrow" w:hAnsi="Arial Narrow" w:cs="Arial"/>
          <w:b/>
          <w:sz w:val="22"/>
          <w:u w:val="single"/>
        </w:rPr>
        <w:t>in place of</w:t>
      </w:r>
      <w:r>
        <w:rPr>
          <w:rFonts w:ascii="Arial Narrow" w:hAnsi="Arial Narrow" w:cs="Arial"/>
          <w:sz w:val="22"/>
        </w:rPr>
        <w:t xml:space="preserve"> two elective subjects</w:t>
      </w:r>
      <w:r w:rsidRPr="000B4D24">
        <w:rPr>
          <w:rFonts w:ascii="Arial Narrow" w:hAnsi="Arial Narrow" w:cs="Arial"/>
          <w:sz w:val="22"/>
        </w:rPr>
        <w:t xml:space="preserve">.  </w:t>
      </w:r>
    </w:p>
    <w:p w:rsidR="00FD5112" w:rsidRPr="000B4D24" w:rsidRDefault="00FD5112" w:rsidP="00FD5112">
      <w:pPr>
        <w:spacing w:before="60"/>
        <w:jc w:val="both"/>
        <w:rPr>
          <w:rFonts w:ascii="Arial Narrow" w:hAnsi="Arial Narrow" w:cs="Arial"/>
          <w:sz w:val="22"/>
        </w:rPr>
      </w:pPr>
      <w:r w:rsidRPr="000B4D24">
        <w:rPr>
          <w:rFonts w:ascii="Arial Narrow" w:hAnsi="Arial Narrow" w:cs="Arial"/>
          <w:sz w:val="22"/>
        </w:rPr>
        <w:t xml:space="preserve">In order to be eligible to undertake a Unit </w:t>
      </w:r>
      <w:r>
        <w:rPr>
          <w:rFonts w:ascii="Arial Narrow" w:hAnsi="Arial Narrow" w:cs="Arial"/>
          <w:sz w:val="22"/>
        </w:rPr>
        <w:t>1-2</w:t>
      </w:r>
      <w:r w:rsidRPr="000B4D24">
        <w:rPr>
          <w:rFonts w:ascii="Arial Narrow" w:hAnsi="Arial Narrow" w:cs="Arial"/>
          <w:sz w:val="22"/>
        </w:rPr>
        <w:t xml:space="preserve"> sequence in a subject </w:t>
      </w:r>
      <w:r>
        <w:rPr>
          <w:rFonts w:ascii="Arial Narrow" w:hAnsi="Arial Narrow" w:cs="Arial"/>
          <w:sz w:val="22"/>
        </w:rPr>
        <w:t>in Year 10</w:t>
      </w:r>
      <w:r w:rsidRPr="000B4D24">
        <w:rPr>
          <w:rFonts w:ascii="Arial Narrow" w:hAnsi="Arial Narrow" w:cs="Arial"/>
          <w:sz w:val="22"/>
        </w:rPr>
        <w:t>, students must meet the following criteria:</w:t>
      </w:r>
    </w:p>
    <w:p w:rsidR="00FD5112" w:rsidRPr="00416C27" w:rsidRDefault="00FD5112" w:rsidP="00FD5112">
      <w:pPr>
        <w:jc w:val="both"/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44"/>
        <w:gridCol w:w="8372"/>
      </w:tblGrid>
      <w:tr w:rsidR="00FD5112" w:rsidRPr="00416C27" w:rsidTr="00511CC1">
        <w:trPr>
          <w:trHeight w:val="621"/>
          <w:jc w:val="center"/>
        </w:trPr>
        <w:tc>
          <w:tcPr>
            <w:tcW w:w="652" w:type="dxa"/>
            <w:shd w:val="clear" w:color="auto" w:fill="F2F2F2" w:themeFill="background1" w:themeFillShade="F2"/>
            <w:vAlign w:val="center"/>
          </w:tcPr>
          <w:p w:rsidR="00FD5112" w:rsidRPr="000B4D24" w:rsidRDefault="00FD5112" w:rsidP="00511CC1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B4D24">
              <w:rPr>
                <w:rFonts w:ascii="Arial Narrow" w:hAnsi="Arial Narrow" w:cs="Arial"/>
                <w:b/>
                <w:sz w:val="22"/>
              </w:rPr>
              <w:t>1.</w:t>
            </w:r>
          </w:p>
        </w:tc>
        <w:tc>
          <w:tcPr>
            <w:tcW w:w="8571" w:type="dxa"/>
            <w:shd w:val="clear" w:color="auto" w:fill="F2F2F2" w:themeFill="background1" w:themeFillShade="F2"/>
          </w:tcPr>
          <w:p w:rsidR="00FD5112" w:rsidRPr="000B4D24" w:rsidRDefault="00FD5112" w:rsidP="00FD511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 Narrow" w:hAnsi="Arial Narrow" w:cs="Arial"/>
                <w:szCs w:val="20"/>
              </w:rPr>
            </w:pPr>
            <w:r w:rsidRPr="000B4D24">
              <w:rPr>
                <w:rFonts w:ascii="Arial Narrow" w:hAnsi="Arial Narrow" w:cs="Arial"/>
                <w:szCs w:val="20"/>
              </w:rPr>
              <w:t>80% or above in English</w:t>
            </w:r>
          </w:p>
          <w:p w:rsidR="00FD5112" w:rsidRDefault="00FD5112" w:rsidP="00FD511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 Narrow" w:hAnsi="Arial Narrow" w:cs="Arial"/>
                <w:szCs w:val="20"/>
              </w:rPr>
            </w:pPr>
            <w:r w:rsidRPr="000B4D24">
              <w:rPr>
                <w:rFonts w:ascii="Arial Narrow" w:hAnsi="Arial Narrow" w:cs="Arial"/>
                <w:szCs w:val="20"/>
              </w:rPr>
              <w:t>80% or a</w:t>
            </w:r>
            <w:r>
              <w:rPr>
                <w:rFonts w:ascii="Arial Narrow" w:hAnsi="Arial Narrow" w:cs="Arial"/>
                <w:szCs w:val="20"/>
              </w:rPr>
              <w:t>bove in two other core subjects</w:t>
            </w:r>
          </w:p>
          <w:p w:rsidR="00FD5112" w:rsidRPr="001E1C5A" w:rsidRDefault="00FD5112" w:rsidP="00FD511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The exception to this </w:t>
            </w:r>
            <w:r w:rsidRPr="001E1C5A">
              <w:rPr>
                <w:rFonts w:ascii="Arial Narrow" w:hAnsi="Arial Narrow" w:cs="Arial"/>
                <w:szCs w:val="20"/>
              </w:rPr>
              <w:t>Enrichment Mathematics</w:t>
            </w:r>
            <w:r>
              <w:rPr>
                <w:rFonts w:ascii="Arial Narrow" w:hAnsi="Arial Narrow" w:cs="Arial"/>
                <w:szCs w:val="20"/>
              </w:rPr>
              <w:t xml:space="preserve"> where 70% is the requirement.</w:t>
            </w:r>
          </w:p>
        </w:tc>
      </w:tr>
      <w:tr w:rsidR="00FD5112" w:rsidRPr="00416C27" w:rsidTr="00511CC1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  <w:vAlign w:val="center"/>
          </w:tcPr>
          <w:p w:rsidR="00FD5112" w:rsidRPr="000B4D24" w:rsidRDefault="00FD5112" w:rsidP="00511CC1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B4D24">
              <w:rPr>
                <w:rFonts w:ascii="Arial Narrow" w:hAnsi="Arial Narrow" w:cs="Arial"/>
                <w:b/>
                <w:sz w:val="22"/>
              </w:rPr>
              <w:t>2.</w:t>
            </w:r>
          </w:p>
        </w:tc>
        <w:tc>
          <w:tcPr>
            <w:tcW w:w="8571" w:type="dxa"/>
            <w:shd w:val="clear" w:color="auto" w:fill="F2F2F2" w:themeFill="background1" w:themeFillShade="F2"/>
          </w:tcPr>
          <w:p w:rsidR="00FD5112" w:rsidRPr="009A69FA" w:rsidRDefault="00FD5112" w:rsidP="00511CC1">
            <w:pPr>
              <w:spacing w:before="60" w:after="60"/>
              <w:jc w:val="both"/>
              <w:rPr>
                <w:rFonts w:ascii="Arial Narrow" w:hAnsi="Arial Narrow" w:cs="Arial"/>
                <w:sz w:val="22"/>
              </w:rPr>
            </w:pPr>
            <w:r w:rsidRPr="009A69FA">
              <w:rPr>
                <w:rFonts w:ascii="Arial Narrow" w:hAnsi="Arial Narrow" w:cs="Arial"/>
                <w:sz w:val="22"/>
              </w:rPr>
              <w:t>A letter of support from a parent/guardian</w:t>
            </w:r>
          </w:p>
        </w:tc>
      </w:tr>
      <w:tr w:rsidR="00FD5112" w:rsidRPr="00416C27" w:rsidTr="00511CC1">
        <w:trPr>
          <w:trHeight w:val="605"/>
          <w:jc w:val="center"/>
        </w:trPr>
        <w:tc>
          <w:tcPr>
            <w:tcW w:w="652" w:type="dxa"/>
            <w:shd w:val="clear" w:color="auto" w:fill="F2F2F2" w:themeFill="background1" w:themeFillShade="F2"/>
            <w:vAlign w:val="center"/>
          </w:tcPr>
          <w:p w:rsidR="00FD5112" w:rsidRPr="000B4D24" w:rsidRDefault="00FD5112" w:rsidP="00511CC1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B4D24">
              <w:rPr>
                <w:rFonts w:ascii="Arial Narrow" w:hAnsi="Arial Narrow" w:cs="Arial"/>
                <w:b/>
                <w:sz w:val="22"/>
              </w:rPr>
              <w:t>3.</w:t>
            </w:r>
          </w:p>
        </w:tc>
        <w:tc>
          <w:tcPr>
            <w:tcW w:w="8571" w:type="dxa"/>
            <w:shd w:val="clear" w:color="auto" w:fill="F2F2F2" w:themeFill="background1" w:themeFillShade="F2"/>
          </w:tcPr>
          <w:p w:rsidR="00FD5112" w:rsidRPr="009A69FA" w:rsidRDefault="00FD5112" w:rsidP="00511CC1">
            <w:pPr>
              <w:spacing w:before="60" w:after="60"/>
              <w:jc w:val="both"/>
              <w:rPr>
                <w:rFonts w:ascii="Arial Narrow" w:hAnsi="Arial Narrow" w:cs="Arial"/>
                <w:sz w:val="22"/>
              </w:rPr>
            </w:pPr>
            <w:r w:rsidRPr="009A69FA">
              <w:rPr>
                <w:rFonts w:ascii="Arial Narrow" w:hAnsi="Arial Narrow" w:cs="Arial"/>
                <w:sz w:val="22"/>
              </w:rPr>
              <w:t>Completion of the appropriate application form (BLUE)</w:t>
            </w:r>
            <w:r w:rsidRPr="009A69FA">
              <w:rPr>
                <w:rFonts w:ascii="Arial Narrow" w:hAnsi="Arial Narrow" w:cs="Arial"/>
                <w:b/>
                <w:i/>
                <w:sz w:val="22"/>
              </w:rPr>
              <w:t xml:space="preserve"> (Available outside Ms. </w:t>
            </w:r>
            <w:proofErr w:type="spellStart"/>
            <w:r w:rsidRPr="009A69FA">
              <w:rPr>
                <w:rFonts w:ascii="Arial Narrow" w:hAnsi="Arial Narrow" w:cs="Arial"/>
                <w:b/>
                <w:i/>
                <w:sz w:val="22"/>
              </w:rPr>
              <w:t>Haggett’s</w:t>
            </w:r>
            <w:proofErr w:type="spellEnd"/>
            <w:r w:rsidRPr="009A69FA">
              <w:rPr>
                <w:rFonts w:ascii="Arial Narrow" w:hAnsi="Arial Narrow" w:cs="Arial"/>
                <w:b/>
                <w:i/>
                <w:sz w:val="22"/>
              </w:rPr>
              <w:t xml:space="preserve"> Office)</w:t>
            </w:r>
            <w:r w:rsidRPr="009A69FA">
              <w:rPr>
                <w:rFonts w:ascii="Arial Narrow" w:hAnsi="Arial Narrow" w:cs="Arial"/>
                <w:sz w:val="22"/>
              </w:rPr>
              <w:t xml:space="preserve">, including parent/guardian letter of support. </w:t>
            </w:r>
          </w:p>
        </w:tc>
      </w:tr>
      <w:tr w:rsidR="00FD5112" w:rsidRPr="00416C27" w:rsidTr="00511CC1">
        <w:trPr>
          <w:trHeight w:val="521"/>
          <w:jc w:val="center"/>
        </w:trPr>
        <w:tc>
          <w:tcPr>
            <w:tcW w:w="652" w:type="dxa"/>
            <w:shd w:val="clear" w:color="auto" w:fill="F2F2F2" w:themeFill="background1" w:themeFillShade="F2"/>
            <w:vAlign w:val="center"/>
          </w:tcPr>
          <w:p w:rsidR="00FD5112" w:rsidRPr="000B4D24" w:rsidRDefault="00FD5112" w:rsidP="00511CC1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4. </w:t>
            </w:r>
          </w:p>
        </w:tc>
        <w:tc>
          <w:tcPr>
            <w:tcW w:w="8571" w:type="dxa"/>
            <w:shd w:val="clear" w:color="auto" w:fill="F2F2F2" w:themeFill="background1" w:themeFillShade="F2"/>
            <w:vAlign w:val="center"/>
          </w:tcPr>
          <w:p w:rsidR="00FD5112" w:rsidRPr="009A69FA" w:rsidRDefault="00FD5112" w:rsidP="00511CC1">
            <w:pPr>
              <w:spacing w:before="60" w:after="60"/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All applications due to Ms Haggett or Mr Green by </w:t>
            </w:r>
            <w:r w:rsidRPr="001E1C5A">
              <w:rPr>
                <w:rFonts w:ascii="Arial Narrow" w:hAnsi="Arial Narrow" w:cs="Arial"/>
                <w:b/>
                <w:sz w:val="22"/>
                <w:u w:val="single"/>
              </w:rPr>
              <w:t>5pm, Wednesday</w:t>
            </w:r>
            <w:r>
              <w:rPr>
                <w:rFonts w:ascii="Arial Narrow" w:hAnsi="Arial Narrow" w:cs="Arial"/>
                <w:sz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u w:val="single"/>
              </w:rPr>
              <w:t xml:space="preserve">August 1 </w:t>
            </w:r>
          </w:p>
        </w:tc>
      </w:tr>
      <w:tr w:rsidR="00FD5112" w:rsidRPr="00416C27" w:rsidTr="00511CC1">
        <w:trPr>
          <w:trHeight w:val="692"/>
          <w:jc w:val="center"/>
        </w:trPr>
        <w:tc>
          <w:tcPr>
            <w:tcW w:w="652" w:type="dxa"/>
            <w:shd w:val="clear" w:color="auto" w:fill="F2F2F2" w:themeFill="background1" w:themeFillShade="F2"/>
            <w:vAlign w:val="center"/>
          </w:tcPr>
          <w:p w:rsidR="00FD5112" w:rsidRPr="000B4D24" w:rsidRDefault="00FD5112" w:rsidP="00511CC1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5</w:t>
            </w:r>
            <w:r w:rsidRPr="000B4D24">
              <w:rPr>
                <w:rFonts w:ascii="Arial Narrow" w:hAnsi="Arial Narrow" w:cs="Arial"/>
                <w:b/>
                <w:sz w:val="22"/>
              </w:rPr>
              <w:t>.</w:t>
            </w:r>
          </w:p>
        </w:tc>
        <w:tc>
          <w:tcPr>
            <w:tcW w:w="8571" w:type="dxa"/>
            <w:shd w:val="clear" w:color="auto" w:fill="F2F2F2" w:themeFill="background1" w:themeFillShade="F2"/>
          </w:tcPr>
          <w:p w:rsidR="00FD5112" w:rsidRPr="009A69FA" w:rsidRDefault="00FD5112" w:rsidP="00511CC1">
            <w:pPr>
              <w:spacing w:before="60" w:after="60"/>
              <w:jc w:val="both"/>
              <w:rPr>
                <w:rFonts w:ascii="Arial Narrow" w:hAnsi="Arial Narrow" w:cs="Arial"/>
                <w:sz w:val="22"/>
              </w:rPr>
            </w:pPr>
            <w:r w:rsidRPr="009A69FA">
              <w:rPr>
                <w:rFonts w:ascii="Arial Narrow" w:hAnsi="Arial Narrow" w:cs="Arial"/>
                <w:sz w:val="22"/>
              </w:rPr>
              <w:t xml:space="preserve">You </w:t>
            </w:r>
            <w:proofErr w:type="gramStart"/>
            <w:r w:rsidRPr="009A69FA">
              <w:rPr>
                <w:rFonts w:ascii="Arial Narrow" w:hAnsi="Arial Narrow" w:cs="Arial"/>
                <w:sz w:val="22"/>
              </w:rPr>
              <w:t>will be notified</w:t>
            </w:r>
            <w:proofErr w:type="gramEnd"/>
            <w:r w:rsidRPr="009A69FA">
              <w:rPr>
                <w:rFonts w:ascii="Arial Narrow" w:hAnsi="Arial Narrow" w:cs="Arial"/>
                <w:sz w:val="22"/>
              </w:rPr>
              <w:t xml:space="preserve"> as to whether your acceleration application has been approved by email on </w:t>
            </w:r>
            <w:r>
              <w:rPr>
                <w:rFonts w:ascii="Arial Narrow" w:hAnsi="Arial Narrow" w:cs="Arial"/>
                <w:b/>
                <w:sz w:val="22"/>
                <w:u w:val="single"/>
              </w:rPr>
              <w:t xml:space="preserve">August 6. </w:t>
            </w:r>
            <w:r w:rsidRPr="009A69FA">
              <w:rPr>
                <w:rFonts w:ascii="Arial Narrow" w:hAnsi="Arial Narrow" w:cs="Arial"/>
                <w:sz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u w:val="single"/>
              </w:rPr>
              <w:t xml:space="preserve">You may only complete your subject selection online after you have received your acceptance email. </w:t>
            </w:r>
          </w:p>
        </w:tc>
      </w:tr>
    </w:tbl>
    <w:p w:rsidR="00FD5112" w:rsidRDefault="00FD5112" w:rsidP="00FD5112">
      <w:pPr>
        <w:jc w:val="both"/>
      </w:pPr>
    </w:p>
    <w:p w:rsidR="00FD5112" w:rsidRDefault="00FD5112" w:rsidP="00FD5112">
      <w:pPr>
        <w:jc w:val="both"/>
        <w:rPr>
          <w:rFonts w:ascii="Arial Narrow" w:hAnsi="Arial Narrow"/>
        </w:rPr>
      </w:pPr>
    </w:p>
    <w:p w:rsidR="00FD5112" w:rsidRPr="00401DD9" w:rsidRDefault="00FD5112" w:rsidP="00FD5112">
      <w:pPr>
        <w:jc w:val="both"/>
        <w:rPr>
          <w:rFonts w:ascii="Arial Narrow" w:hAnsi="Arial Narrow"/>
          <w:b/>
        </w:rPr>
      </w:pPr>
      <w:r w:rsidRPr="00401DD9">
        <w:rPr>
          <w:rFonts w:ascii="Arial Narrow" w:hAnsi="Arial Narrow"/>
          <w:b/>
        </w:rPr>
        <w:t>NOTE</w:t>
      </w:r>
    </w:p>
    <w:p w:rsidR="00FD5112" w:rsidRDefault="00FD5112" w:rsidP="00FD511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Not all VCE subjects are available for acceleration.</w:t>
      </w:r>
    </w:p>
    <w:p w:rsidR="00FD5112" w:rsidRDefault="00FD5112" w:rsidP="00FD511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Places for acceleration are limited due to the demand for subjects.</w:t>
      </w:r>
    </w:p>
    <w:p w:rsidR="00FD5112" w:rsidRPr="000B4D24" w:rsidRDefault="00FD5112" w:rsidP="00FD511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0B4D24">
        <w:rPr>
          <w:rFonts w:ascii="Arial Narrow" w:hAnsi="Arial Narrow"/>
        </w:rPr>
        <w:t xml:space="preserve">Applications not meeting the above </w:t>
      </w:r>
      <w:r>
        <w:rPr>
          <w:rFonts w:ascii="Arial Narrow" w:hAnsi="Arial Narrow"/>
        </w:rPr>
        <w:t xml:space="preserve">criteria </w:t>
      </w:r>
      <w:proofErr w:type="gramStart"/>
      <w:r>
        <w:rPr>
          <w:rFonts w:ascii="Arial Narrow" w:hAnsi="Arial Narrow"/>
        </w:rPr>
        <w:t>will not be considered</w:t>
      </w:r>
      <w:proofErr w:type="gramEnd"/>
      <w:r>
        <w:rPr>
          <w:rFonts w:ascii="Arial Narrow" w:hAnsi="Arial Narrow"/>
        </w:rPr>
        <w:t xml:space="preserve">, unless there are extenuating circumstances.  In this case, the application </w:t>
      </w:r>
      <w:proofErr w:type="gramStart"/>
      <w:r>
        <w:rPr>
          <w:rFonts w:ascii="Arial Narrow" w:hAnsi="Arial Narrow"/>
        </w:rPr>
        <w:t>will be considered</w:t>
      </w:r>
      <w:proofErr w:type="gramEnd"/>
      <w:r>
        <w:rPr>
          <w:rFonts w:ascii="Arial Narrow" w:hAnsi="Arial Narrow"/>
        </w:rPr>
        <w:t xml:space="preserve"> ‘pending’ and the student will be advised during Term 4, pending availability of a place. </w:t>
      </w:r>
    </w:p>
    <w:p w:rsidR="00FD5112" w:rsidRDefault="00FD5112" w:rsidP="00FD5112">
      <w:pPr>
        <w:pStyle w:val="ListParagraph"/>
        <w:numPr>
          <w:ilvl w:val="0"/>
          <w:numId w:val="2"/>
        </w:numPr>
      </w:pPr>
      <w:r>
        <w:rPr>
          <w:rFonts w:ascii="Arial Narrow" w:hAnsi="Arial Narrow"/>
        </w:rPr>
        <w:t>Even if</w:t>
      </w:r>
      <w:r w:rsidRPr="000B4D24">
        <w:rPr>
          <w:rFonts w:ascii="Arial Narrow" w:hAnsi="Arial Narrow"/>
        </w:rPr>
        <w:t xml:space="preserve"> approval has been granted to undertake an accelerated course of study, student</w:t>
      </w:r>
      <w:r>
        <w:rPr>
          <w:rFonts w:ascii="Arial Narrow" w:hAnsi="Arial Narrow"/>
        </w:rPr>
        <w:t>s</w:t>
      </w:r>
      <w:r w:rsidRPr="000B4D24">
        <w:rPr>
          <w:rFonts w:ascii="Arial Narrow" w:hAnsi="Arial Narrow"/>
        </w:rPr>
        <w:t xml:space="preserve"> should be </w:t>
      </w:r>
      <w:proofErr w:type="gramStart"/>
      <w:r w:rsidRPr="000B4D24">
        <w:rPr>
          <w:rFonts w:ascii="Arial Narrow" w:hAnsi="Arial Narrow"/>
        </w:rPr>
        <w:t>aware</w:t>
      </w:r>
      <w:proofErr w:type="gramEnd"/>
      <w:r w:rsidRPr="000B4D24">
        <w:rPr>
          <w:rFonts w:ascii="Arial Narrow" w:hAnsi="Arial Narrow"/>
        </w:rPr>
        <w:t xml:space="preserve"> that priority for places</w:t>
      </w:r>
      <w:r>
        <w:rPr>
          <w:rFonts w:ascii="Arial Narrow" w:hAnsi="Arial Narrow"/>
        </w:rPr>
        <w:t xml:space="preserve"> in subjects</w:t>
      </w:r>
      <w:r w:rsidRPr="000B4D24">
        <w:rPr>
          <w:rFonts w:ascii="Arial Narrow" w:hAnsi="Arial Narrow"/>
        </w:rPr>
        <w:t xml:space="preserve"> is given to Year 11 students</w:t>
      </w:r>
      <w:r>
        <w:rPr>
          <w:rFonts w:ascii="Arial Narrow" w:hAnsi="Arial Narrow"/>
        </w:rPr>
        <w:t xml:space="preserve"> and that they may be refused on the grounds of class size. </w:t>
      </w:r>
      <w:r>
        <w:br w:type="page"/>
      </w:r>
    </w:p>
    <w:p w:rsidR="00FD5112" w:rsidRPr="00AB7B99" w:rsidRDefault="00FD5112" w:rsidP="00FD5112">
      <w:pPr>
        <w:pStyle w:val="Heading1"/>
        <w:jc w:val="left"/>
      </w:pPr>
      <w:bookmarkStart w:id="3" w:name="_Toc487634596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66878" wp14:editId="7642A513">
                <wp:simplePos x="0" y="0"/>
                <wp:positionH relativeFrom="column">
                  <wp:posOffset>-114300</wp:posOffset>
                </wp:positionH>
                <wp:positionV relativeFrom="paragraph">
                  <wp:posOffset>-542925</wp:posOffset>
                </wp:positionV>
                <wp:extent cx="4324350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112" w:rsidRPr="00FD5112" w:rsidRDefault="00FD5112" w:rsidP="00FD5112">
                            <w:pPr>
                              <w:rPr>
                                <w:sz w:val="28"/>
                              </w:rPr>
                            </w:pPr>
                            <w:r w:rsidRPr="00FD5112">
                              <w:rPr>
                                <w:sz w:val="28"/>
                              </w:rPr>
                              <w:t xml:space="preserve">From </w:t>
                            </w:r>
                            <w:r>
                              <w:rPr>
                                <w:sz w:val="28"/>
                              </w:rPr>
                              <w:t>Senior Handbook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66878" id="Text Box 2" o:spid="_x0000_s1027" type="#_x0000_t202" style="position:absolute;margin-left:-9pt;margin-top:-42.75pt;width:340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" fillcolor="#bfbfbf [2412]" stroked="f" strokeweight=".5pt">
                <v:textbox>
                  <w:txbxContent>
                    <w:p w:rsidR="00FD5112" w:rsidRPr="00FD5112" w:rsidRDefault="00FD5112" w:rsidP="00FD5112">
                      <w:pPr>
                        <w:rPr>
                          <w:sz w:val="28"/>
                        </w:rPr>
                      </w:pPr>
                      <w:r w:rsidRPr="00FD5112">
                        <w:rPr>
                          <w:sz w:val="28"/>
                        </w:rPr>
                        <w:t xml:space="preserve">From </w:t>
                      </w:r>
                      <w:r>
                        <w:rPr>
                          <w:sz w:val="28"/>
                        </w:rPr>
                        <w:t>Senior Handbook</w:t>
                      </w:r>
                    </w:p>
                  </w:txbxContent>
                </v:textbox>
              </v:shape>
            </w:pict>
          </mc:Fallback>
        </mc:AlternateContent>
      </w:r>
      <w:r>
        <w:t>Acceleration:       Unit 3 &amp; 4</w:t>
      </w:r>
      <w:bookmarkEnd w:id="3"/>
    </w:p>
    <w:p w:rsidR="00FD5112" w:rsidRPr="00AB7B99" w:rsidRDefault="00FD5112" w:rsidP="00FD5112">
      <w:pPr>
        <w:rPr>
          <w:rFonts w:ascii="Arial Narrow" w:hAnsi="Arial Narrow" w:cs="Arial"/>
          <w:b/>
          <w:bCs/>
          <w:u w:val="single"/>
        </w:rPr>
      </w:pPr>
    </w:p>
    <w:p w:rsidR="00FD5112" w:rsidRPr="006E23C8" w:rsidRDefault="00FD5112" w:rsidP="00FD5112">
      <w:pPr>
        <w:pStyle w:val="Subtitle"/>
        <w:rPr>
          <w:rFonts w:ascii="Arial Narrow" w:hAnsi="Arial Narrow"/>
          <w:sz w:val="22"/>
        </w:rPr>
      </w:pPr>
      <w:r w:rsidRPr="006E23C8">
        <w:rPr>
          <w:rFonts w:ascii="Arial Narrow" w:hAnsi="Arial Narrow"/>
          <w:sz w:val="22"/>
        </w:rPr>
        <w:t>Students who have completed Units 1-2 in Year 10</w:t>
      </w:r>
    </w:p>
    <w:p w:rsidR="00FD5112" w:rsidRPr="00643E7B" w:rsidRDefault="00FD5112" w:rsidP="00FD5112">
      <w:pPr>
        <w:jc w:val="both"/>
        <w:rPr>
          <w:rFonts w:ascii="Arial Narrow" w:hAnsi="Arial Narrow" w:cs="Arial"/>
        </w:rPr>
      </w:pPr>
      <w:r w:rsidRPr="00643E7B">
        <w:rPr>
          <w:rFonts w:ascii="Arial Narrow" w:hAnsi="Arial Narrow" w:cs="Arial"/>
        </w:rPr>
        <w:t xml:space="preserve">Students who have completed the Unit 1-2 sequence of a subject in Year 10 will be given preference to complete the Unit 3-4 sequence in that subject in Year 11.   </w:t>
      </w:r>
    </w:p>
    <w:p w:rsidR="00FD5112" w:rsidRPr="00643E7B" w:rsidRDefault="00FD5112" w:rsidP="00FD5112">
      <w:pPr>
        <w:jc w:val="both"/>
        <w:rPr>
          <w:rFonts w:ascii="Arial Narrow" w:hAnsi="Arial Narrow" w:cs="Arial"/>
        </w:rPr>
      </w:pPr>
      <w:r w:rsidRPr="00643E7B">
        <w:rPr>
          <w:rFonts w:ascii="Arial Narrow" w:hAnsi="Arial Narrow" w:cs="Arial"/>
        </w:rPr>
        <w:t xml:space="preserve">However, this </w:t>
      </w:r>
      <w:proofErr w:type="gramStart"/>
      <w:r w:rsidRPr="00643E7B">
        <w:rPr>
          <w:rFonts w:ascii="Arial Narrow" w:hAnsi="Arial Narrow" w:cs="Arial"/>
        </w:rPr>
        <w:t>should not be assumed</w:t>
      </w:r>
      <w:proofErr w:type="gramEnd"/>
      <w:r w:rsidRPr="00643E7B">
        <w:rPr>
          <w:rFonts w:ascii="Arial Narrow" w:hAnsi="Arial Narrow" w:cs="Arial"/>
        </w:rPr>
        <w:t xml:space="preserve">. Where satisfactory results </w:t>
      </w:r>
      <w:proofErr w:type="gramStart"/>
      <w:r w:rsidRPr="00643E7B">
        <w:rPr>
          <w:rFonts w:ascii="Arial Narrow" w:hAnsi="Arial Narrow" w:cs="Arial"/>
        </w:rPr>
        <w:t>have not been maintained</w:t>
      </w:r>
      <w:proofErr w:type="gramEnd"/>
      <w:r w:rsidRPr="00643E7B">
        <w:rPr>
          <w:rFonts w:ascii="Arial Narrow" w:hAnsi="Arial Narrow" w:cs="Arial"/>
        </w:rPr>
        <w:t xml:space="preserve"> due to a lack of application, students will not be permitted to proceed.</w:t>
      </w:r>
    </w:p>
    <w:p w:rsidR="00FD5112" w:rsidRPr="00643E7B" w:rsidRDefault="00FD5112" w:rsidP="00FD5112">
      <w:pPr>
        <w:jc w:val="both"/>
        <w:rPr>
          <w:rFonts w:ascii="Arial Narrow" w:hAnsi="Arial Narrow" w:cs="Arial"/>
        </w:rPr>
      </w:pPr>
    </w:p>
    <w:p w:rsidR="00FD5112" w:rsidRPr="006E23C8" w:rsidRDefault="00FD5112" w:rsidP="00FD5112">
      <w:pPr>
        <w:pStyle w:val="Subtitle"/>
        <w:rPr>
          <w:rFonts w:ascii="Arial Narrow" w:hAnsi="Arial Narrow"/>
          <w:sz w:val="22"/>
        </w:rPr>
      </w:pPr>
      <w:r w:rsidRPr="006E23C8">
        <w:rPr>
          <w:rFonts w:ascii="Arial Narrow" w:hAnsi="Arial Narrow"/>
          <w:sz w:val="22"/>
        </w:rPr>
        <w:t xml:space="preserve">Students who have </w:t>
      </w:r>
      <w:r>
        <w:rPr>
          <w:rFonts w:ascii="Arial Narrow" w:hAnsi="Arial Narrow"/>
          <w:sz w:val="22"/>
        </w:rPr>
        <w:t xml:space="preserve">NOT </w:t>
      </w:r>
      <w:r w:rsidRPr="006E23C8">
        <w:rPr>
          <w:rFonts w:ascii="Arial Narrow" w:hAnsi="Arial Narrow"/>
          <w:sz w:val="22"/>
        </w:rPr>
        <w:t>completed Units 1-2 in Year 10</w:t>
      </w:r>
    </w:p>
    <w:p w:rsidR="00FD5112" w:rsidRPr="00643E7B" w:rsidRDefault="00FD5112" w:rsidP="00FD5112">
      <w:pPr>
        <w:jc w:val="both"/>
        <w:rPr>
          <w:rFonts w:ascii="Arial Narrow" w:hAnsi="Arial Narrow" w:cs="Arial"/>
        </w:rPr>
      </w:pPr>
      <w:r w:rsidRPr="00643E7B">
        <w:rPr>
          <w:rFonts w:ascii="Arial Narrow" w:hAnsi="Arial Narrow" w:cs="Arial"/>
        </w:rPr>
        <w:t xml:space="preserve">Students </w:t>
      </w:r>
      <w:r w:rsidRPr="00643E7B">
        <w:rPr>
          <w:rFonts w:ascii="Arial Narrow" w:hAnsi="Arial Narrow" w:cs="Arial"/>
          <w:b/>
          <w:i/>
          <w:u w:val="single"/>
        </w:rPr>
        <w:t>may apply</w:t>
      </w:r>
      <w:r w:rsidRPr="00643E7B">
        <w:rPr>
          <w:rFonts w:ascii="Arial Narrow" w:hAnsi="Arial Narrow" w:cs="Arial"/>
        </w:rPr>
        <w:t xml:space="preserve"> to take one Unit 3-4 sequence in place of one of the Unit 1-2 studies.  </w:t>
      </w:r>
    </w:p>
    <w:p w:rsidR="00FD5112" w:rsidRPr="00643E7B" w:rsidRDefault="00FD5112" w:rsidP="00FD5112">
      <w:pPr>
        <w:jc w:val="both"/>
        <w:rPr>
          <w:rFonts w:ascii="Arial Narrow" w:hAnsi="Arial Narrow" w:cs="Arial"/>
        </w:rPr>
      </w:pPr>
      <w:r w:rsidRPr="00643E7B">
        <w:rPr>
          <w:rFonts w:ascii="Arial Narrow" w:hAnsi="Arial Narrow" w:cs="Arial"/>
        </w:rPr>
        <w:t>In order to be eligible to undertake a Unit 3-4 sequence in a subject for which they have NOT completed the Unit 1-2 sequence, students must meet the following criteria:</w:t>
      </w:r>
    </w:p>
    <w:p w:rsidR="00FD5112" w:rsidRPr="00416C27" w:rsidRDefault="00FD5112" w:rsidP="00FD5112">
      <w:pPr>
        <w:jc w:val="both"/>
        <w:rPr>
          <w:rFonts w:ascii="Arial Narrow" w:hAnsi="Arial Narrow" w:cs="Arial"/>
          <w:sz w:val="22"/>
        </w:rPr>
      </w:pPr>
    </w:p>
    <w:tbl>
      <w:tblPr>
        <w:tblStyle w:val="TableGrid"/>
        <w:tblW w:w="10238" w:type="dxa"/>
        <w:jc w:val="center"/>
        <w:tblLook w:val="04A0" w:firstRow="1" w:lastRow="0" w:firstColumn="1" w:lastColumn="0" w:noHBand="0" w:noVBand="1"/>
      </w:tblPr>
      <w:tblGrid>
        <w:gridCol w:w="715"/>
        <w:gridCol w:w="9523"/>
      </w:tblGrid>
      <w:tr w:rsidR="00FD5112" w:rsidRPr="00416C27" w:rsidTr="00511CC1">
        <w:trPr>
          <w:trHeight w:val="688"/>
          <w:jc w:val="center"/>
        </w:trPr>
        <w:tc>
          <w:tcPr>
            <w:tcW w:w="715" w:type="dxa"/>
            <w:vAlign w:val="center"/>
          </w:tcPr>
          <w:p w:rsidR="00FD5112" w:rsidRPr="00643E7B" w:rsidRDefault="00FD5112" w:rsidP="00511CC1">
            <w:pPr>
              <w:jc w:val="both"/>
              <w:rPr>
                <w:rFonts w:ascii="Arial Narrow" w:hAnsi="Arial Narrow" w:cs="Arial"/>
                <w:b/>
              </w:rPr>
            </w:pPr>
            <w:r w:rsidRPr="00643E7B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9523" w:type="dxa"/>
          </w:tcPr>
          <w:p w:rsidR="00FD5112" w:rsidRPr="00643E7B" w:rsidRDefault="00FD5112" w:rsidP="00FD511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43E7B">
              <w:rPr>
                <w:rFonts w:ascii="Arial Narrow" w:hAnsi="Arial Narrow" w:cs="Arial"/>
                <w:sz w:val="20"/>
                <w:szCs w:val="20"/>
              </w:rPr>
              <w:t>80% or above in English</w:t>
            </w:r>
          </w:p>
          <w:p w:rsidR="00FD5112" w:rsidRPr="00643E7B" w:rsidRDefault="00FD5112" w:rsidP="00FD511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643E7B">
              <w:rPr>
                <w:rFonts w:ascii="Arial Narrow" w:hAnsi="Arial Narrow" w:cs="Arial"/>
                <w:sz w:val="20"/>
                <w:szCs w:val="20"/>
              </w:rPr>
              <w:t>80%</w:t>
            </w:r>
            <w:proofErr w:type="gramEnd"/>
            <w:r w:rsidRPr="00643E7B">
              <w:rPr>
                <w:rFonts w:ascii="Arial Narrow" w:hAnsi="Arial Narrow" w:cs="Arial"/>
                <w:sz w:val="20"/>
                <w:szCs w:val="20"/>
              </w:rPr>
              <w:t xml:space="preserve"> or ab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ove in two other core subjects.  </w:t>
            </w:r>
          </w:p>
        </w:tc>
      </w:tr>
      <w:tr w:rsidR="00FD5112" w:rsidRPr="00416C27" w:rsidTr="00511CC1">
        <w:trPr>
          <w:trHeight w:val="251"/>
          <w:jc w:val="center"/>
        </w:trPr>
        <w:tc>
          <w:tcPr>
            <w:tcW w:w="715" w:type="dxa"/>
            <w:vAlign w:val="center"/>
          </w:tcPr>
          <w:p w:rsidR="00FD5112" w:rsidRPr="00643E7B" w:rsidRDefault="00FD5112" w:rsidP="00511CC1">
            <w:pPr>
              <w:jc w:val="both"/>
              <w:rPr>
                <w:rFonts w:ascii="Arial Narrow" w:hAnsi="Arial Narrow" w:cs="Arial"/>
                <w:b/>
              </w:rPr>
            </w:pPr>
            <w:r w:rsidRPr="00643E7B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9523" w:type="dxa"/>
          </w:tcPr>
          <w:p w:rsidR="00FD5112" w:rsidRPr="00643E7B" w:rsidRDefault="00FD5112" w:rsidP="00FD5112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43E7B">
              <w:rPr>
                <w:rFonts w:ascii="Arial Narrow" w:hAnsi="Arial Narrow" w:cs="Arial"/>
                <w:sz w:val="20"/>
                <w:szCs w:val="20"/>
              </w:rPr>
              <w:t>A letter of support from a parent/guardian</w:t>
            </w:r>
          </w:p>
        </w:tc>
      </w:tr>
      <w:tr w:rsidR="00FD5112" w:rsidRPr="00416C27" w:rsidTr="00511CC1">
        <w:trPr>
          <w:trHeight w:val="718"/>
          <w:jc w:val="center"/>
        </w:trPr>
        <w:tc>
          <w:tcPr>
            <w:tcW w:w="715" w:type="dxa"/>
            <w:vAlign w:val="center"/>
          </w:tcPr>
          <w:p w:rsidR="00FD5112" w:rsidRPr="00643E7B" w:rsidRDefault="00FD5112" w:rsidP="00511CC1">
            <w:pPr>
              <w:jc w:val="both"/>
              <w:rPr>
                <w:rFonts w:ascii="Arial Narrow" w:hAnsi="Arial Narrow" w:cs="Arial"/>
                <w:b/>
              </w:rPr>
            </w:pPr>
            <w:r w:rsidRPr="00643E7B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9523" w:type="dxa"/>
          </w:tcPr>
          <w:p w:rsidR="00FD5112" w:rsidRPr="00643E7B" w:rsidRDefault="00FD5112" w:rsidP="00FD5112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43E7B">
              <w:rPr>
                <w:rFonts w:ascii="Arial Narrow" w:hAnsi="Arial Narrow" w:cs="Arial"/>
                <w:sz w:val="20"/>
                <w:szCs w:val="20"/>
              </w:rPr>
              <w:t xml:space="preserve">Completion of the appropriate application form (PINK), including provision of Year 10 report.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(Available outside Ms</w:t>
            </w:r>
            <w:r w:rsidRPr="00643E7B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43E7B">
              <w:rPr>
                <w:rFonts w:ascii="Arial Narrow" w:hAnsi="Arial Narrow" w:cs="Arial"/>
                <w:b/>
                <w:i/>
                <w:sz w:val="20"/>
                <w:szCs w:val="20"/>
              </w:rPr>
              <w:t>Haggett’s</w:t>
            </w:r>
            <w:proofErr w:type="spellEnd"/>
            <w:r w:rsidRPr="00643E7B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Office, or from St James Year 10 Co-ordinator)</w:t>
            </w:r>
          </w:p>
        </w:tc>
      </w:tr>
      <w:tr w:rsidR="00FD5112" w:rsidRPr="00416C27" w:rsidTr="00511CC1">
        <w:trPr>
          <w:trHeight w:val="1026"/>
          <w:jc w:val="center"/>
        </w:trPr>
        <w:tc>
          <w:tcPr>
            <w:tcW w:w="715" w:type="dxa"/>
            <w:vAlign w:val="center"/>
          </w:tcPr>
          <w:p w:rsidR="00FD5112" w:rsidRPr="00643E7B" w:rsidRDefault="00FD5112" w:rsidP="00511CC1">
            <w:pPr>
              <w:jc w:val="both"/>
              <w:rPr>
                <w:rFonts w:ascii="Arial Narrow" w:hAnsi="Arial Narrow" w:cs="Arial"/>
                <w:b/>
              </w:rPr>
            </w:pPr>
            <w:r w:rsidRPr="00643E7B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9523" w:type="dxa"/>
          </w:tcPr>
          <w:p w:rsidR="00FD5112" w:rsidRPr="006C00F6" w:rsidRDefault="00FD5112" w:rsidP="00FD5112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 Bede’s students –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go to this </w:t>
            </w:r>
            <w:hyperlink r:id="rId5" w:history="1">
              <w:r w:rsidRPr="006C00F6">
                <w:rPr>
                  <w:rStyle w:val="Hyperlink"/>
                  <w:rFonts w:ascii="Arial Narrow" w:hAnsi="Arial Narrow" w:cs="Arial"/>
                  <w:b/>
                  <w:i/>
                  <w:sz w:val="20"/>
                  <w:szCs w:val="20"/>
                </w:rPr>
                <w:t>booking site</w:t>
              </w:r>
            </w:hyperlink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to book an interview time with Mr Reidy.  </w:t>
            </w:r>
            <w:r>
              <w:rPr>
                <w:rFonts w:ascii="Arial Narrow" w:hAnsi="Arial Narrow" w:cs="Arial"/>
                <w:sz w:val="20"/>
                <w:szCs w:val="20"/>
              </w:rPr>
              <w:t>NOTE:  To</w:t>
            </w:r>
            <w:r w:rsidRPr="006C00F6">
              <w:rPr>
                <w:rFonts w:ascii="Arial Narrow" w:hAnsi="Arial Narrow" w:cs="Arial"/>
                <w:sz w:val="20"/>
                <w:szCs w:val="20"/>
              </w:rPr>
              <w:t xml:space="preserve"> access the booking site from a hard copy handbook type the following URL </w:t>
            </w:r>
            <w:hyperlink r:id="rId6" w:history="1">
              <w:r w:rsidRPr="009966B0">
                <w:rPr>
                  <w:rStyle w:val="Hyperlink"/>
                  <w:rFonts w:ascii="Arial Narrow" w:hAnsi="Arial Narrow" w:cs="Arial"/>
                  <w:b/>
                  <w:i/>
                  <w:sz w:val="20"/>
                  <w:szCs w:val="20"/>
                </w:rPr>
                <w:t>https://docs.google.com/forms/d/e/1FAIpQLSfymPX-iwjKh8Yf18zJC8UJztnDGPLEpAtzftbRgsdd3DgeaQ/viewform</w:t>
              </w:r>
            </w:hyperlink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  <w:p w:rsidR="00FD5112" w:rsidRPr="00643E7B" w:rsidRDefault="00FD5112" w:rsidP="00FD5112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205BF">
              <w:rPr>
                <w:rFonts w:ascii="Arial Narrow" w:hAnsi="Arial Narrow" w:cs="Arial"/>
                <w:sz w:val="20"/>
                <w:szCs w:val="20"/>
              </w:rPr>
              <w:t xml:space="preserve">St James </w:t>
            </w:r>
            <w:r>
              <w:rPr>
                <w:rFonts w:ascii="Arial Narrow" w:hAnsi="Arial Narrow" w:cs="Arial"/>
                <w:sz w:val="20"/>
                <w:szCs w:val="20"/>
              </w:rPr>
              <w:t>students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</w:t>
            </w:r>
            <w:r w:rsidRPr="00643E7B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this inte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rview will take place on July 26 at St James College</w:t>
            </w:r>
          </w:p>
        </w:tc>
      </w:tr>
    </w:tbl>
    <w:p w:rsidR="00FD5112" w:rsidRPr="00416C27" w:rsidRDefault="00FD5112" w:rsidP="00FD5112">
      <w:pPr>
        <w:jc w:val="both"/>
        <w:rPr>
          <w:rFonts w:ascii="Arial Narrow" w:hAnsi="Arial Narrow" w:cs="Arial"/>
          <w:sz w:val="22"/>
        </w:rPr>
      </w:pPr>
    </w:p>
    <w:p w:rsidR="00FD5112" w:rsidRDefault="00FD5112" w:rsidP="00FD5112">
      <w:pPr>
        <w:jc w:val="both"/>
        <w:rPr>
          <w:rFonts w:ascii="Arial Narrow" w:hAnsi="Arial Narrow" w:cs="Arial"/>
          <w:sz w:val="22"/>
        </w:rPr>
      </w:pPr>
    </w:p>
    <w:p w:rsidR="00FD5112" w:rsidRPr="00C70856" w:rsidRDefault="00FD5112" w:rsidP="00FD5112">
      <w:pPr>
        <w:pStyle w:val="Subtitle"/>
        <w:rPr>
          <w:rFonts w:ascii="Arial Narrow" w:hAnsi="Arial Narrow"/>
        </w:rPr>
      </w:pPr>
      <w:r>
        <w:rPr>
          <w:rFonts w:ascii="Arial Narrow" w:hAnsi="Arial Narrow"/>
        </w:rPr>
        <w:t>Only t</w:t>
      </w:r>
      <w:r w:rsidRPr="00C70856">
        <w:rPr>
          <w:rFonts w:ascii="Arial Narrow" w:hAnsi="Arial Narrow"/>
        </w:rPr>
        <w:t xml:space="preserve">he following subjects </w:t>
      </w:r>
      <w:proofErr w:type="gramStart"/>
      <w:r w:rsidRPr="00C70856">
        <w:rPr>
          <w:rFonts w:ascii="Arial Narrow" w:hAnsi="Arial Narrow"/>
        </w:rPr>
        <w:t>can be taken</w:t>
      </w:r>
      <w:proofErr w:type="gramEnd"/>
      <w:r w:rsidRPr="00C70856">
        <w:rPr>
          <w:rFonts w:ascii="Arial Narrow" w:hAnsi="Arial Narrow"/>
        </w:rPr>
        <w:t xml:space="preserve"> in Year 12 without having completed the Unit 1-2 sequence:</w:t>
      </w:r>
    </w:p>
    <w:p w:rsidR="00FD5112" w:rsidRPr="00643E7B" w:rsidRDefault="00FD5112" w:rsidP="00FD5112">
      <w:pPr>
        <w:jc w:val="both"/>
        <w:rPr>
          <w:rFonts w:ascii="Arial Narrow" w:hAnsi="Arial Narrow" w:cs="Arial"/>
          <w:i/>
        </w:rPr>
      </w:pPr>
      <w:r w:rsidRPr="00643E7B">
        <w:rPr>
          <w:rFonts w:ascii="Arial Narrow" w:hAnsi="Arial Narrow" w:cs="Arial"/>
          <w:i/>
        </w:rPr>
        <w:t>Biology</w:t>
      </w:r>
    </w:p>
    <w:p w:rsidR="00FD5112" w:rsidRPr="00643E7B" w:rsidRDefault="00FD5112" w:rsidP="00FD5112">
      <w:pPr>
        <w:jc w:val="both"/>
        <w:rPr>
          <w:rFonts w:ascii="Arial Narrow" w:hAnsi="Arial Narrow" w:cs="Arial"/>
          <w:i/>
        </w:rPr>
      </w:pPr>
      <w:r w:rsidRPr="00643E7B">
        <w:rPr>
          <w:rFonts w:ascii="Arial Narrow" w:hAnsi="Arial Narrow" w:cs="Arial"/>
          <w:i/>
        </w:rPr>
        <w:t>Business Management</w:t>
      </w:r>
    </w:p>
    <w:p w:rsidR="00FD5112" w:rsidRPr="00643E7B" w:rsidRDefault="00FD5112" w:rsidP="00FD5112">
      <w:pPr>
        <w:jc w:val="both"/>
        <w:rPr>
          <w:rFonts w:ascii="Arial Narrow" w:hAnsi="Arial Narrow" w:cs="Arial"/>
          <w:i/>
        </w:rPr>
      </w:pPr>
      <w:r w:rsidRPr="00643E7B">
        <w:rPr>
          <w:rFonts w:ascii="Arial Narrow" w:hAnsi="Arial Narrow" w:cs="Arial"/>
          <w:i/>
        </w:rPr>
        <w:t>Environmental Science</w:t>
      </w:r>
    </w:p>
    <w:p w:rsidR="00FD5112" w:rsidRPr="00643E7B" w:rsidRDefault="00FD5112" w:rsidP="00FD5112">
      <w:pPr>
        <w:jc w:val="both"/>
        <w:rPr>
          <w:rFonts w:ascii="Arial Narrow" w:hAnsi="Arial Narrow" w:cs="Arial"/>
          <w:i/>
        </w:rPr>
      </w:pPr>
      <w:r w:rsidRPr="00643E7B">
        <w:rPr>
          <w:rFonts w:ascii="Arial Narrow" w:hAnsi="Arial Narrow" w:cs="Arial"/>
          <w:i/>
        </w:rPr>
        <w:t>Geography</w:t>
      </w:r>
    </w:p>
    <w:p w:rsidR="00FD5112" w:rsidRPr="00643E7B" w:rsidRDefault="00FD5112" w:rsidP="00FD5112">
      <w:pPr>
        <w:jc w:val="both"/>
        <w:rPr>
          <w:rFonts w:ascii="Arial Narrow" w:hAnsi="Arial Narrow" w:cs="Arial"/>
          <w:i/>
        </w:rPr>
      </w:pPr>
      <w:r w:rsidRPr="00643E7B">
        <w:rPr>
          <w:rFonts w:ascii="Arial Narrow" w:hAnsi="Arial Narrow" w:cs="Arial"/>
          <w:i/>
        </w:rPr>
        <w:t>Health and Human Development</w:t>
      </w:r>
    </w:p>
    <w:p w:rsidR="00FD5112" w:rsidRPr="00643E7B" w:rsidRDefault="00FD5112" w:rsidP="00FD5112">
      <w:pPr>
        <w:jc w:val="both"/>
        <w:rPr>
          <w:rFonts w:ascii="Arial Narrow" w:hAnsi="Arial Narrow" w:cs="Arial"/>
          <w:i/>
        </w:rPr>
      </w:pPr>
      <w:r w:rsidRPr="00643E7B">
        <w:rPr>
          <w:rFonts w:ascii="Arial Narrow" w:hAnsi="Arial Narrow" w:cs="Arial"/>
          <w:i/>
        </w:rPr>
        <w:t>Legal Studies</w:t>
      </w:r>
    </w:p>
    <w:p w:rsidR="00FD5112" w:rsidRPr="00643E7B" w:rsidRDefault="00FD5112" w:rsidP="00FD5112">
      <w:pPr>
        <w:jc w:val="both"/>
        <w:rPr>
          <w:rFonts w:ascii="Arial Narrow" w:hAnsi="Arial Narrow" w:cs="Arial"/>
          <w:i/>
        </w:rPr>
      </w:pPr>
      <w:r w:rsidRPr="00643E7B">
        <w:rPr>
          <w:rFonts w:ascii="Arial Narrow" w:hAnsi="Arial Narrow" w:cs="Arial"/>
          <w:i/>
        </w:rPr>
        <w:t>Physical Education</w:t>
      </w:r>
    </w:p>
    <w:p w:rsidR="00FD5112" w:rsidRPr="00643E7B" w:rsidRDefault="00FD5112" w:rsidP="00FD5112">
      <w:pPr>
        <w:jc w:val="both"/>
        <w:rPr>
          <w:rFonts w:ascii="Arial Narrow" w:hAnsi="Arial Narrow" w:cs="Arial"/>
          <w:i/>
        </w:rPr>
      </w:pPr>
      <w:r w:rsidRPr="00643E7B">
        <w:rPr>
          <w:rFonts w:ascii="Arial Narrow" w:hAnsi="Arial Narrow" w:cs="Arial"/>
          <w:i/>
        </w:rPr>
        <w:t>Psychology</w:t>
      </w:r>
    </w:p>
    <w:p w:rsidR="00FD5112" w:rsidRPr="00643E7B" w:rsidRDefault="00FD5112" w:rsidP="00FD5112">
      <w:pPr>
        <w:jc w:val="both"/>
        <w:rPr>
          <w:rFonts w:ascii="Arial Narrow" w:hAnsi="Arial Narrow" w:cs="Arial"/>
          <w:i/>
        </w:rPr>
      </w:pPr>
      <w:r w:rsidRPr="00643E7B">
        <w:rPr>
          <w:rFonts w:ascii="Arial Narrow" w:hAnsi="Arial Narrow" w:cs="Arial"/>
          <w:i/>
        </w:rPr>
        <w:t>Religion and Society</w:t>
      </w:r>
    </w:p>
    <w:p w:rsidR="00FD5112" w:rsidRPr="00643E7B" w:rsidRDefault="00FD5112" w:rsidP="00FD5112">
      <w:pPr>
        <w:jc w:val="both"/>
        <w:rPr>
          <w:rFonts w:ascii="Arial Narrow" w:hAnsi="Arial Narrow" w:cs="Arial"/>
          <w:i/>
        </w:rPr>
      </w:pPr>
      <w:r w:rsidRPr="00643E7B">
        <w:rPr>
          <w:rFonts w:ascii="Arial Narrow" w:hAnsi="Arial Narrow" w:cs="Arial"/>
          <w:i/>
        </w:rPr>
        <w:t>Texts and Traditions</w:t>
      </w:r>
    </w:p>
    <w:p w:rsidR="00FD5112" w:rsidRDefault="00FD5112" w:rsidP="00FD5112">
      <w:pPr>
        <w:jc w:val="both"/>
        <w:rPr>
          <w:rFonts w:ascii="Arial Narrow" w:hAnsi="Arial Narrow" w:cs="Arial"/>
          <w:b/>
        </w:rPr>
      </w:pPr>
    </w:p>
    <w:p w:rsidR="00FD5112" w:rsidRPr="00AB7B99" w:rsidRDefault="00FD5112" w:rsidP="00FD511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Please note that</w:t>
      </w:r>
      <w:r w:rsidRPr="00AB7B99">
        <w:rPr>
          <w:rFonts w:ascii="Arial Narrow" w:hAnsi="Arial Narrow"/>
        </w:rPr>
        <w:t xml:space="preserve"> </w:t>
      </w:r>
      <w:r w:rsidRPr="00AB7B99">
        <w:rPr>
          <w:rFonts w:ascii="Arial Narrow" w:hAnsi="Arial Narrow"/>
          <w:b/>
        </w:rPr>
        <w:t>Year 12 student choices will take preference</w:t>
      </w:r>
      <w:r w:rsidRPr="00AB7B99">
        <w:rPr>
          <w:rFonts w:ascii="Arial Narrow" w:hAnsi="Arial Narrow"/>
        </w:rPr>
        <w:t>. Students are strongly encouraged to discuss this option with their Year 10 subject teacher and the appropriate Learning Area Leader.</w:t>
      </w:r>
    </w:p>
    <w:p w:rsidR="00FD5112" w:rsidRDefault="00FD5112" w:rsidP="00FD5112">
      <w:pPr>
        <w:jc w:val="both"/>
        <w:rPr>
          <w:rFonts w:ascii="Arial Narrow" w:hAnsi="Arial Narrow" w:cs="Arial"/>
          <w:b/>
        </w:rPr>
      </w:pPr>
    </w:p>
    <w:p w:rsidR="00FD5112" w:rsidRPr="0005078E" w:rsidRDefault="00FD5112" w:rsidP="00FD5112">
      <w:pPr>
        <w:jc w:val="both"/>
        <w:rPr>
          <w:rFonts w:ascii="Arial Narrow" w:hAnsi="Arial Narrow" w:cs="Arial"/>
          <w:u w:val="single"/>
        </w:rPr>
      </w:pPr>
      <w:r w:rsidRPr="0005078E">
        <w:rPr>
          <w:rFonts w:ascii="Arial Narrow" w:hAnsi="Arial Narrow" w:cs="Arial"/>
          <w:u w:val="single"/>
        </w:rPr>
        <w:t>No student who undertakes a Unit 3/4 in Year 11 will be permitted to take a lighter load in Year 12 unless medical and/or other evidence is produced that demonstrates that the student would be otherwise unable to successfully complete the VCE.</w:t>
      </w:r>
    </w:p>
    <w:p w:rsidR="00FD5112" w:rsidRPr="00AB7B99" w:rsidRDefault="00FD5112" w:rsidP="00FD5112">
      <w:pPr>
        <w:jc w:val="both"/>
        <w:rPr>
          <w:rFonts w:ascii="Arial Narrow" w:hAnsi="Arial Narrow" w:cs="Arial"/>
        </w:rPr>
      </w:pPr>
    </w:p>
    <w:p w:rsidR="00FD5112" w:rsidRDefault="00FD5112" w:rsidP="00FD5112">
      <w:pPr>
        <w:jc w:val="both"/>
        <w:rPr>
          <w:rFonts w:ascii="Arial Narrow" w:hAnsi="Arial Narrow" w:cs="Arial"/>
          <w:b/>
        </w:rPr>
      </w:pPr>
      <w:r w:rsidRPr="006E23C8">
        <w:rPr>
          <w:rFonts w:ascii="Arial Narrow" w:hAnsi="Arial Narrow" w:cs="Arial"/>
          <w:b/>
        </w:rPr>
        <w:t xml:space="preserve">Please note that applications </w:t>
      </w:r>
      <w:r>
        <w:rPr>
          <w:rFonts w:ascii="Arial Narrow" w:hAnsi="Arial Narrow" w:cs="Arial"/>
          <w:b/>
        </w:rPr>
        <w:t>without the</w:t>
      </w:r>
      <w:r w:rsidRPr="006E23C8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required</w:t>
      </w:r>
      <w:r w:rsidRPr="006E23C8">
        <w:rPr>
          <w:rFonts w:ascii="Arial Narrow" w:hAnsi="Arial Narrow" w:cs="Arial"/>
          <w:b/>
        </w:rPr>
        <w:t xml:space="preserve"> evidence </w:t>
      </w:r>
      <w:proofErr w:type="gramStart"/>
      <w:r w:rsidRPr="006E23C8">
        <w:rPr>
          <w:rFonts w:ascii="Arial Narrow" w:hAnsi="Arial Narrow" w:cs="Arial"/>
          <w:b/>
        </w:rPr>
        <w:t>will not be considered</w:t>
      </w:r>
      <w:proofErr w:type="gramEnd"/>
      <w:r w:rsidRPr="006E23C8">
        <w:rPr>
          <w:rFonts w:ascii="Arial Narrow" w:hAnsi="Arial Narrow" w:cs="Arial"/>
          <w:b/>
        </w:rPr>
        <w:t>.</w:t>
      </w:r>
    </w:p>
    <w:p w:rsidR="005E5D8D" w:rsidRDefault="005E5D8D"/>
    <w:sectPr w:rsidR="005E5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2D02"/>
    <w:multiLevelType w:val="hybridMultilevel"/>
    <w:tmpl w:val="9606DB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760AB0"/>
    <w:multiLevelType w:val="hybridMultilevel"/>
    <w:tmpl w:val="5D12F4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12"/>
    <w:rsid w:val="005E5D8D"/>
    <w:rsid w:val="00BE344D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CC6A5-3B12-456D-A441-2368C2D6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D5112"/>
    <w:pPr>
      <w:keepNext/>
      <w:jc w:val="both"/>
      <w:outlineLvl w:val="0"/>
    </w:pPr>
    <w:rPr>
      <w:rFonts w:ascii="Arial Rounded MT Bold" w:hAnsi="Arial Rounded MT Bold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FD5112"/>
    <w:pPr>
      <w:keepNext/>
      <w:jc w:val="center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112"/>
    <w:rPr>
      <w:rFonts w:ascii="Arial Rounded MT Bold" w:eastAsia="Times New Roman" w:hAnsi="Arial Rounded MT Bold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FD5112"/>
    <w:rPr>
      <w:rFonts w:ascii="Arial" w:eastAsia="Times New Roman" w:hAnsi="Arial" w:cs="Times New Roman"/>
      <w:b/>
      <w:sz w:val="18"/>
      <w:szCs w:val="20"/>
    </w:rPr>
  </w:style>
  <w:style w:type="paragraph" w:styleId="Subtitle">
    <w:name w:val="Subtitle"/>
    <w:basedOn w:val="Normal"/>
    <w:link w:val="SubtitleChar"/>
    <w:uiPriority w:val="11"/>
    <w:qFormat/>
    <w:rsid w:val="00FD5112"/>
    <w:rPr>
      <w:b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D5112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FD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D51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5112"/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FD5112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rsid w:val="00FD5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ymPX-iwjKh8Yf18zJC8UJztnDGPLEpAtzftbRgsdd3DgeaQ/viewform" TargetMode="External"/><Relationship Id="rId5" Type="http://schemas.openxmlformats.org/officeDocument/2006/relationships/hyperlink" Target="https://docs.google.com/forms/d/e/1FAIpQLSfymPX-iwjKh8Yf18zJC8UJztnDGPLEpAtzftbRgsdd3Dgea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Haggett</dc:creator>
  <cp:keywords/>
  <dc:description/>
  <cp:lastModifiedBy>Maria Haggett</cp:lastModifiedBy>
  <cp:revision>1</cp:revision>
  <dcterms:created xsi:type="dcterms:W3CDTF">2018-06-29T01:58:00Z</dcterms:created>
  <dcterms:modified xsi:type="dcterms:W3CDTF">2018-06-29T02:00:00Z</dcterms:modified>
</cp:coreProperties>
</file>