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216B" w14:textId="77777777" w:rsidR="007D1DC6" w:rsidRPr="00657693" w:rsidRDefault="007D1DC6" w:rsidP="007D1DC6">
      <w:pPr>
        <w:widowControl w:val="0"/>
        <w:overflowPunct w:val="0"/>
        <w:autoSpaceDE w:val="0"/>
        <w:autoSpaceDN w:val="0"/>
        <w:adjustRightInd w:val="0"/>
        <w:jc w:val="both"/>
        <w:rPr>
          <w:rFonts w:ascii="Arial" w:hAnsi="Arial" w:cs="Arial"/>
          <w:b/>
          <w:bCs/>
          <w:kern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D1DC6" w:rsidRPr="00AB7E74" w14:paraId="02D1B3A5" w14:textId="77777777" w:rsidTr="007221C7">
        <w:tc>
          <w:tcPr>
            <w:tcW w:w="10540" w:type="dxa"/>
            <w:shd w:val="clear" w:color="auto" w:fill="auto"/>
          </w:tcPr>
          <w:p w14:paraId="4717D213" w14:textId="77777777" w:rsidR="007D1DC6" w:rsidRPr="00AB7E74" w:rsidRDefault="007D1DC6" w:rsidP="007221C7">
            <w:pPr>
              <w:widowControl w:val="0"/>
              <w:overflowPunct w:val="0"/>
              <w:autoSpaceDE w:val="0"/>
              <w:autoSpaceDN w:val="0"/>
              <w:adjustRightInd w:val="0"/>
              <w:jc w:val="center"/>
              <w:rPr>
                <w:rFonts w:ascii="Arial" w:hAnsi="Arial" w:cs="Arial"/>
                <w:bCs/>
                <w:kern w:val="28"/>
                <w:sz w:val="44"/>
              </w:rPr>
            </w:pPr>
            <w:r w:rsidRPr="00AB7E74">
              <w:rPr>
                <w:rFonts w:ascii="Arial" w:hAnsi="Arial" w:cs="Arial"/>
                <w:b/>
                <w:bCs/>
                <w:kern w:val="28"/>
                <w:sz w:val="44"/>
                <w:u w:val="single"/>
              </w:rPr>
              <w:t>Health and Wellness Policy</w:t>
            </w:r>
          </w:p>
          <w:p w14:paraId="77E2F253" w14:textId="77777777" w:rsidR="007D1DC6" w:rsidRPr="00AB7E74" w:rsidRDefault="007D1DC6" w:rsidP="007221C7">
            <w:pPr>
              <w:widowControl w:val="0"/>
              <w:overflowPunct w:val="0"/>
              <w:autoSpaceDE w:val="0"/>
              <w:autoSpaceDN w:val="0"/>
              <w:adjustRightInd w:val="0"/>
              <w:rPr>
                <w:rFonts w:ascii="Arial" w:hAnsi="Arial" w:cs="Arial"/>
                <w:kern w:val="28"/>
              </w:rPr>
            </w:pPr>
          </w:p>
          <w:p w14:paraId="587748AC" w14:textId="77777777" w:rsidR="007D1DC6" w:rsidRPr="00AB7E74" w:rsidRDefault="007D1DC6" w:rsidP="007221C7">
            <w:pPr>
              <w:widowControl w:val="0"/>
              <w:overflowPunct w:val="0"/>
              <w:autoSpaceDE w:val="0"/>
              <w:autoSpaceDN w:val="0"/>
              <w:adjustRightInd w:val="0"/>
              <w:rPr>
                <w:rFonts w:ascii="Arial" w:hAnsi="Arial" w:cs="Arial"/>
                <w:b/>
                <w:kern w:val="28"/>
                <w:u w:val="single"/>
              </w:rPr>
            </w:pPr>
            <w:r w:rsidRPr="00AB7E74">
              <w:rPr>
                <w:rFonts w:ascii="Arial" w:hAnsi="Arial" w:cs="Arial"/>
                <w:b/>
                <w:kern w:val="28"/>
                <w:u w:val="single"/>
              </w:rPr>
              <w:t>Rationale</w:t>
            </w:r>
          </w:p>
          <w:p w14:paraId="732BC553" w14:textId="77777777" w:rsidR="007D1DC6" w:rsidRPr="00AB7E74" w:rsidRDefault="007D1DC6" w:rsidP="007221C7">
            <w:pPr>
              <w:widowControl w:val="0"/>
              <w:overflowPunct w:val="0"/>
              <w:autoSpaceDE w:val="0"/>
              <w:autoSpaceDN w:val="0"/>
              <w:adjustRightInd w:val="0"/>
              <w:rPr>
                <w:rFonts w:ascii="Arial" w:hAnsi="Arial" w:cs="Arial"/>
                <w:kern w:val="28"/>
              </w:rPr>
            </w:pPr>
            <w:r w:rsidRPr="00AB7E74">
              <w:rPr>
                <w:rFonts w:ascii="Arial" w:hAnsi="Arial" w:cs="Arial"/>
                <w:kern w:val="28"/>
              </w:rPr>
              <w:t xml:space="preserve">At Woodville Gardens School </w:t>
            </w:r>
            <w:r>
              <w:rPr>
                <w:rFonts w:ascii="Arial" w:hAnsi="Arial" w:cs="Arial"/>
                <w:kern w:val="28"/>
              </w:rPr>
              <w:t xml:space="preserve">B-6 </w:t>
            </w:r>
            <w:r w:rsidRPr="00AB7E74">
              <w:rPr>
                <w:rFonts w:ascii="Arial" w:hAnsi="Arial" w:cs="Arial"/>
                <w:kern w:val="28"/>
              </w:rPr>
              <w:t xml:space="preserve">Children’s Centre we provide a quality wrap around education and care service based on educator to child ratios. We aim to work in partnership with parent/caregivers, children and the wider community to provide and maintain a safe and hygienic environment for children, families, educators and </w:t>
            </w:r>
            <w:r>
              <w:rPr>
                <w:rFonts w:ascii="Arial" w:hAnsi="Arial" w:cs="Arial"/>
                <w:kern w:val="28"/>
              </w:rPr>
              <w:t>staff</w:t>
            </w:r>
            <w:r w:rsidRPr="00AB7E74">
              <w:rPr>
                <w:rFonts w:ascii="Arial" w:hAnsi="Arial" w:cs="Arial"/>
                <w:kern w:val="28"/>
              </w:rPr>
              <w:t>.</w:t>
            </w:r>
          </w:p>
          <w:p w14:paraId="713DEEFF" w14:textId="77777777" w:rsidR="007D1DC6" w:rsidRPr="00AB7E74" w:rsidRDefault="007D1DC6" w:rsidP="007221C7">
            <w:pPr>
              <w:widowControl w:val="0"/>
              <w:overflowPunct w:val="0"/>
              <w:autoSpaceDE w:val="0"/>
              <w:autoSpaceDN w:val="0"/>
              <w:adjustRightInd w:val="0"/>
              <w:rPr>
                <w:rFonts w:ascii="Arial" w:hAnsi="Arial" w:cs="Arial"/>
                <w:kern w:val="28"/>
              </w:rPr>
            </w:pPr>
          </w:p>
          <w:p w14:paraId="70069190" w14:textId="77777777" w:rsidR="007D1DC6" w:rsidRPr="00AB7E74" w:rsidRDefault="007D1DC6" w:rsidP="007221C7">
            <w:pPr>
              <w:widowControl w:val="0"/>
              <w:overflowPunct w:val="0"/>
              <w:autoSpaceDE w:val="0"/>
              <w:autoSpaceDN w:val="0"/>
              <w:adjustRightInd w:val="0"/>
              <w:rPr>
                <w:rFonts w:ascii="Arial" w:hAnsi="Arial" w:cs="Arial"/>
                <w:kern w:val="28"/>
              </w:rPr>
            </w:pPr>
            <w:r w:rsidRPr="00AB7E74">
              <w:rPr>
                <w:rFonts w:ascii="Arial" w:hAnsi="Arial" w:cs="Arial"/>
                <w:kern w:val="28"/>
              </w:rPr>
              <w:t xml:space="preserve">We are strong advocates for children’s health and wellbeing and recognise that children learn best when they feel well. Consequently, any child displaying symptoms will be supported to feel safe and secure as we activate our health and wellness policy to ensure safety for all. Activating our health and wellness policy ensures that unwell children receive the additional individual comfort and attention required in a home environment outside of the Children’s Centre. We acknowledge that Children’s Centre </w:t>
            </w:r>
            <w:r>
              <w:rPr>
                <w:rFonts w:ascii="Arial" w:hAnsi="Arial" w:cs="Arial"/>
                <w:kern w:val="28"/>
              </w:rPr>
              <w:t>educators</w:t>
            </w:r>
            <w:r w:rsidRPr="00AB7E74">
              <w:rPr>
                <w:rFonts w:ascii="Arial" w:hAnsi="Arial" w:cs="Arial"/>
                <w:kern w:val="28"/>
              </w:rPr>
              <w:t xml:space="preserve"> work best when they feel well and expect </w:t>
            </w:r>
            <w:r>
              <w:rPr>
                <w:rFonts w:ascii="Arial" w:hAnsi="Arial" w:cs="Arial"/>
                <w:kern w:val="28"/>
              </w:rPr>
              <w:t>educators</w:t>
            </w:r>
            <w:r w:rsidRPr="00AB7E74">
              <w:rPr>
                <w:rFonts w:ascii="Arial" w:hAnsi="Arial" w:cs="Arial"/>
                <w:kern w:val="28"/>
              </w:rPr>
              <w:t xml:space="preserve"> to also follow our sickness policy.</w:t>
            </w:r>
          </w:p>
          <w:p w14:paraId="470B34ED" w14:textId="77777777" w:rsidR="007D1DC6" w:rsidRPr="00AB7E74" w:rsidRDefault="007D1DC6" w:rsidP="007221C7">
            <w:pPr>
              <w:widowControl w:val="0"/>
              <w:overflowPunct w:val="0"/>
              <w:autoSpaceDE w:val="0"/>
              <w:autoSpaceDN w:val="0"/>
              <w:adjustRightInd w:val="0"/>
              <w:rPr>
                <w:rFonts w:ascii="Arial" w:hAnsi="Arial" w:cs="Arial"/>
                <w:b/>
                <w:kern w:val="28"/>
                <w:u w:val="single"/>
              </w:rPr>
            </w:pPr>
          </w:p>
          <w:p w14:paraId="13FA4C6E" w14:textId="77777777" w:rsidR="007D1DC6" w:rsidRPr="00AB7E74" w:rsidRDefault="007D1DC6" w:rsidP="007221C7">
            <w:pPr>
              <w:widowControl w:val="0"/>
              <w:overflowPunct w:val="0"/>
              <w:autoSpaceDE w:val="0"/>
              <w:autoSpaceDN w:val="0"/>
              <w:adjustRightInd w:val="0"/>
              <w:rPr>
                <w:rFonts w:ascii="Arial" w:hAnsi="Arial" w:cs="Arial"/>
                <w:b/>
                <w:kern w:val="28"/>
                <w:u w:val="single"/>
              </w:rPr>
            </w:pPr>
            <w:r w:rsidRPr="00AB7E74">
              <w:rPr>
                <w:rFonts w:ascii="Arial" w:hAnsi="Arial" w:cs="Arial"/>
                <w:b/>
                <w:kern w:val="28"/>
                <w:u w:val="single"/>
              </w:rPr>
              <w:t>In the event of sickness</w:t>
            </w:r>
          </w:p>
          <w:p w14:paraId="0452D3C2" w14:textId="77777777" w:rsidR="007D1DC6" w:rsidRDefault="007D1DC6" w:rsidP="007221C7">
            <w:pPr>
              <w:widowControl w:val="0"/>
              <w:overflowPunct w:val="0"/>
              <w:autoSpaceDE w:val="0"/>
              <w:autoSpaceDN w:val="0"/>
              <w:adjustRightInd w:val="0"/>
              <w:rPr>
                <w:rFonts w:ascii="Arial" w:hAnsi="Arial" w:cs="Arial"/>
                <w:kern w:val="28"/>
              </w:rPr>
            </w:pPr>
            <w:r w:rsidRPr="00AB7E74">
              <w:rPr>
                <w:rFonts w:ascii="Arial" w:hAnsi="Arial" w:cs="Arial"/>
                <w:kern w:val="28"/>
              </w:rPr>
              <w:t>SA Health recommends a person stays home until they feel well. As children are still developing their self-care practices, we require the children to recuperate at home with their primary caregivers before returning to the Children’s Centre.</w:t>
            </w:r>
          </w:p>
          <w:p w14:paraId="78926B00" w14:textId="77777777" w:rsidR="007D1DC6" w:rsidRDefault="007D1DC6" w:rsidP="007221C7">
            <w:pPr>
              <w:widowControl w:val="0"/>
              <w:overflowPunct w:val="0"/>
              <w:autoSpaceDE w:val="0"/>
              <w:autoSpaceDN w:val="0"/>
              <w:adjustRightInd w:val="0"/>
              <w:rPr>
                <w:rFonts w:ascii="Arial" w:hAnsi="Arial" w:cs="Arial"/>
                <w:kern w:val="28"/>
              </w:rPr>
            </w:pPr>
          </w:p>
          <w:p w14:paraId="241FE1AD" w14:textId="77777777" w:rsidR="007D1DC6" w:rsidRDefault="007D1DC6" w:rsidP="007221C7">
            <w:pPr>
              <w:widowControl w:val="0"/>
              <w:overflowPunct w:val="0"/>
              <w:autoSpaceDE w:val="0"/>
              <w:autoSpaceDN w:val="0"/>
              <w:adjustRightInd w:val="0"/>
              <w:rPr>
                <w:rFonts w:ascii="Arial" w:hAnsi="Arial" w:cs="Arial"/>
                <w:b/>
                <w:color w:val="FF0000"/>
                <w:kern w:val="28"/>
              </w:rPr>
            </w:pPr>
            <w:r w:rsidRPr="003A5A4F">
              <w:rPr>
                <w:rFonts w:ascii="Arial" w:hAnsi="Arial" w:cs="Arial"/>
                <w:b/>
                <w:color w:val="FF0000"/>
                <w:kern w:val="28"/>
              </w:rPr>
              <w:t>If we suspect that a child is unwell</w:t>
            </w:r>
            <w:r w:rsidRPr="00AB7E74">
              <w:rPr>
                <w:rFonts w:ascii="Arial" w:hAnsi="Arial" w:cs="Arial"/>
                <w:kern w:val="28"/>
              </w:rPr>
              <w:t xml:space="preserve"> </w:t>
            </w:r>
            <w:r w:rsidRPr="003A5A4F">
              <w:rPr>
                <w:rFonts w:ascii="Arial" w:hAnsi="Arial" w:cs="Arial"/>
                <w:b/>
                <w:color w:val="FF0000"/>
                <w:kern w:val="28"/>
              </w:rPr>
              <w:t>including but not limited</w:t>
            </w:r>
            <w:r>
              <w:rPr>
                <w:rFonts w:ascii="Arial" w:hAnsi="Arial" w:cs="Arial"/>
                <w:b/>
                <w:color w:val="FF0000"/>
                <w:kern w:val="28"/>
              </w:rPr>
              <w:t xml:space="preserve">: </w:t>
            </w:r>
          </w:p>
          <w:p w14:paraId="76217B4B" w14:textId="77777777" w:rsidR="007D1DC6" w:rsidRDefault="007D1DC6" w:rsidP="007221C7">
            <w:pPr>
              <w:widowControl w:val="0"/>
              <w:overflowPunct w:val="0"/>
              <w:autoSpaceDE w:val="0"/>
              <w:autoSpaceDN w:val="0"/>
              <w:adjustRightInd w:val="0"/>
              <w:rPr>
                <w:rFonts w:ascii="Arial" w:hAnsi="Arial" w:cs="Arial"/>
                <w:b/>
                <w:color w:val="FF0000"/>
                <w:kern w:val="28"/>
              </w:rPr>
            </w:pPr>
          </w:p>
          <w:p w14:paraId="7D83D717" w14:textId="77777777" w:rsidR="007D1DC6" w:rsidRDefault="007D1DC6" w:rsidP="007D1DC6">
            <w:pPr>
              <w:widowControl w:val="0"/>
              <w:numPr>
                <w:ilvl w:val="0"/>
                <w:numId w:val="1"/>
              </w:numPr>
              <w:overflowPunct w:val="0"/>
              <w:autoSpaceDE w:val="0"/>
              <w:autoSpaceDN w:val="0"/>
              <w:adjustRightInd w:val="0"/>
              <w:rPr>
                <w:rFonts w:ascii="Arial" w:hAnsi="Arial" w:cs="Arial"/>
                <w:kern w:val="28"/>
              </w:rPr>
            </w:pPr>
            <w:r>
              <w:rPr>
                <w:rFonts w:ascii="Arial" w:hAnsi="Arial" w:cs="Arial"/>
                <w:kern w:val="28"/>
              </w:rPr>
              <w:t>A persistent</w:t>
            </w:r>
            <w:r w:rsidRPr="00AB7E74">
              <w:rPr>
                <w:rFonts w:ascii="Arial" w:hAnsi="Arial" w:cs="Arial"/>
                <w:kern w:val="28"/>
              </w:rPr>
              <w:t xml:space="preserve"> cough</w:t>
            </w:r>
            <w:r>
              <w:rPr>
                <w:rFonts w:ascii="Arial" w:hAnsi="Arial" w:cs="Arial"/>
                <w:kern w:val="28"/>
              </w:rPr>
              <w:t xml:space="preserve"> that is affecting the child’s ability to engage</w:t>
            </w:r>
            <w:r w:rsidRPr="00AB7E74">
              <w:rPr>
                <w:rFonts w:ascii="Arial" w:hAnsi="Arial" w:cs="Arial"/>
                <w:kern w:val="28"/>
              </w:rPr>
              <w:t xml:space="preserve">, </w:t>
            </w:r>
          </w:p>
          <w:p w14:paraId="45DF8E75" w14:textId="77777777" w:rsidR="007D1DC6" w:rsidRDefault="007D1DC6" w:rsidP="007D1DC6">
            <w:pPr>
              <w:widowControl w:val="0"/>
              <w:numPr>
                <w:ilvl w:val="0"/>
                <w:numId w:val="1"/>
              </w:numPr>
              <w:overflowPunct w:val="0"/>
              <w:autoSpaceDE w:val="0"/>
              <w:autoSpaceDN w:val="0"/>
              <w:adjustRightInd w:val="0"/>
              <w:rPr>
                <w:rFonts w:ascii="Arial" w:hAnsi="Arial" w:cs="Arial"/>
                <w:kern w:val="28"/>
              </w:rPr>
            </w:pPr>
            <w:r>
              <w:rPr>
                <w:rFonts w:ascii="Arial" w:hAnsi="Arial" w:cs="Arial"/>
                <w:kern w:val="28"/>
              </w:rPr>
              <w:t>A</w:t>
            </w:r>
            <w:r w:rsidRPr="00AB7E74">
              <w:rPr>
                <w:rFonts w:ascii="Arial" w:hAnsi="Arial" w:cs="Arial"/>
                <w:kern w:val="28"/>
              </w:rPr>
              <w:t xml:space="preserve"> temperature of 38 degrees or abo</w:t>
            </w:r>
            <w:r>
              <w:rPr>
                <w:rFonts w:ascii="Arial" w:hAnsi="Arial" w:cs="Arial"/>
                <w:kern w:val="28"/>
              </w:rPr>
              <w:t>ve</w:t>
            </w:r>
          </w:p>
          <w:p w14:paraId="2C68F725" w14:textId="77777777" w:rsidR="007D1DC6" w:rsidRDefault="007D1DC6" w:rsidP="007D1DC6">
            <w:pPr>
              <w:widowControl w:val="0"/>
              <w:numPr>
                <w:ilvl w:val="0"/>
                <w:numId w:val="1"/>
              </w:numPr>
              <w:overflowPunct w:val="0"/>
              <w:autoSpaceDE w:val="0"/>
              <w:autoSpaceDN w:val="0"/>
              <w:adjustRightInd w:val="0"/>
              <w:rPr>
                <w:rFonts w:ascii="Arial" w:hAnsi="Arial" w:cs="Arial"/>
                <w:kern w:val="28"/>
              </w:rPr>
            </w:pPr>
            <w:r>
              <w:rPr>
                <w:rFonts w:ascii="Arial" w:hAnsi="Arial" w:cs="Arial"/>
                <w:kern w:val="28"/>
              </w:rPr>
              <w:t xml:space="preserve">A </w:t>
            </w:r>
            <w:r w:rsidRPr="00AB7E74">
              <w:rPr>
                <w:rFonts w:ascii="Arial" w:hAnsi="Arial" w:cs="Arial"/>
                <w:kern w:val="28"/>
              </w:rPr>
              <w:t xml:space="preserve">green runny nose, </w:t>
            </w:r>
          </w:p>
          <w:p w14:paraId="51DE1BB6" w14:textId="77777777" w:rsidR="007D1DC6" w:rsidRDefault="007D1DC6" w:rsidP="007D1DC6">
            <w:pPr>
              <w:widowControl w:val="0"/>
              <w:numPr>
                <w:ilvl w:val="0"/>
                <w:numId w:val="1"/>
              </w:numPr>
              <w:overflowPunct w:val="0"/>
              <w:autoSpaceDE w:val="0"/>
              <w:autoSpaceDN w:val="0"/>
              <w:adjustRightInd w:val="0"/>
              <w:rPr>
                <w:rFonts w:ascii="Arial" w:hAnsi="Arial" w:cs="Arial"/>
                <w:kern w:val="28"/>
              </w:rPr>
            </w:pPr>
            <w:r>
              <w:rPr>
                <w:rFonts w:ascii="Arial" w:hAnsi="Arial" w:cs="Arial"/>
                <w:kern w:val="28"/>
              </w:rPr>
              <w:t xml:space="preserve">Multiple </w:t>
            </w:r>
            <w:r w:rsidRPr="00AB7E74">
              <w:rPr>
                <w:rFonts w:ascii="Arial" w:hAnsi="Arial" w:cs="Arial"/>
                <w:kern w:val="28"/>
              </w:rPr>
              <w:t>loose bowel movements</w:t>
            </w:r>
          </w:p>
          <w:p w14:paraId="50D9E3B7" w14:textId="77777777" w:rsidR="007D1DC6" w:rsidRDefault="007D1DC6" w:rsidP="007D1DC6">
            <w:pPr>
              <w:widowControl w:val="0"/>
              <w:numPr>
                <w:ilvl w:val="0"/>
                <w:numId w:val="1"/>
              </w:numPr>
              <w:overflowPunct w:val="0"/>
              <w:autoSpaceDE w:val="0"/>
              <w:autoSpaceDN w:val="0"/>
              <w:adjustRightInd w:val="0"/>
              <w:rPr>
                <w:rFonts w:ascii="Arial" w:hAnsi="Arial" w:cs="Arial"/>
                <w:kern w:val="28"/>
              </w:rPr>
            </w:pPr>
            <w:r>
              <w:rPr>
                <w:rFonts w:ascii="Arial" w:hAnsi="Arial" w:cs="Arial"/>
                <w:kern w:val="28"/>
              </w:rPr>
              <w:t xml:space="preserve">Vomiting (More than One) </w:t>
            </w:r>
          </w:p>
          <w:p w14:paraId="5201D213" w14:textId="77777777" w:rsidR="007D1DC6" w:rsidRDefault="007D1DC6" w:rsidP="007D1DC6">
            <w:pPr>
              <w:widowControl w:val="0"/>
              <w:numPr>
                <w:ilvl w:val="0"/>
                <w:numId w:val="1"/>
              </w:numPr>
              <w:overflowPunct w:val="0"/>
              <w:autoSpaceDE w:val="0"/>
              <w:autoSpaceDN w:val="0"/>
              <w:adjustRightInd w:val="0"/>
              <w:rPr>
                <w:rFonts w:ascii="Arial" w:hAnsi="Arial" w:cs="Arial"/>
                <w:kern w:val="28"/>
              </w:rPr>
            </w:pPr>
            <w:r>
              <w:rPr>
                <w:rFonts w:ascii="Arial" w:hAnsi="Arial" w:cs="Arial"/>
                <w:kern w:val="28"/>
              </w:rPr>
              <w:t>Vomiting and Loose bowels together on one occasion</w:t>
            </w:r>
            <w:r w:rsidRPr="00AB7E74">
              <w:rPr>
                <w:rFonts w:ascii="Arial" w:hAnsi="Arial" w:cs="Arial"/>
                <w:kern w:val="28"/>
              </w:rPr>
              <w:t xml:space="preserve"> </w:t>
            </w:r>
          </w:p>
          <w:p w14:paraId="2AE500A4" w14:textId="77777777" w:rsidR="007D1DC6" w:rsidRDefault="007D1DC6" w:rsidP="007D1DC6">
            <w:pPr>
              <w:widowControl w:val="0"/>
              <w:numPr>
                <w:ilvl w:val="0"/>
                <w:numId w:val="1"/>
              </w:numPr>
              <w:overflowPunct w:val="0"/>
              <w:autoSpaceDE w:val="0"/>
              <w:autoSpaceDN w:val="0"/>
              <w:adjustRightInd w:val="0"/>
              <w:rPr>
                <w:rFonts w:ascii="Arial" w:hAnsi="Arial" w:cs="Arial"/>
                <w:kern w:val="28"/>
              </w:rPr>
            </w:pPr>
            <w:r>
              <w:rPr>
                <w:rFonts w:ascii="Arial" w:hAnsi="Arial" w:cs="Arial"/>
                <w:kern w:val="28"/>
              </w:rPr>
              <w:t>M</w:t>
            </w:r>
            <w:r w:rsidRPr="00AB7E74">
              <w:rPr>
                <w:rFonts w:ascii="Arial" w:hAnsi="Arial" w:cs="Arial"/>
                <w:kern w:val="28"/>
              </w:rPr>
              <w:t xml:space="preserve">inimal engagement in the Children’s Centre program) </w:t>
            </w:r>
          </w:p>
          <w:p w14:paraId="2E564FF9" w14:textId="77777777" w:rsidR="007D1DC6" w:rsidRDefault="007D1DC6" w:rsidP="007221C7">
            <w:pPr>
              <w:widowControl w:val="0"/>
              <w:overflowPunct w:val="0"/>
              <w:autoSpaceDE w:val="0"/>
              <w:autoSpaceDN w:val="0"/>
              <w:adjustRightInd w:val="0"/>
              <w:ind w:left="720"/>
              <w:rPr>
                <w:rFonts w:ascii="Arial" w:hAnsi="Arial" w:cs="Arial"/>
                <w:kern w:val="28"/>
              </w:rPr>
            </w:pPr>
          </w:p>
          <w:p w14:paraId="4046C65E" w14:textId="77777777" w:rsidR="007D1DC6" w:rsidRDefault="007D1DC6" w:rsidP="007221C7">
            <w:pPr>
              <w:widowControl w:val="0"/>
              <w:overflowPunct w:val="0"/>
              <w:autoSpaceDE w:val="0"/>
              <w:autoSpaceDN w:val="0"/>
              <w:adjustRightInd w:val="0"/>
              <w:rPr>
                <w:rFonts w:ascii="Arial" w:hAnsi="Arial" w:cs="Arial"/>
                <w:kern w:val="28"/>
              </w:rPr>
            </w:pPr>
            <w:r>
              <w:rPr>
                <w:rFonts w:ascii="Arial" w:hAnsi="Arial" w:cs="Arial"/>
                <w:kern w:val="28"/>
              </w:rPr>
              <w:t>P</w:t>
            </w:r>
            <w:r w:rsidRPr="00AB7E74">
              <w:rPr>
                <w:rFonts w:ascii="Arial" w:hAnsi="Arial" w:cs="Arial"/>
                <w:kern w:val="28"/>
              </w:rPr>
              <w:t xml:space="preserve">arents/caregivers will be contacted to arrange other care arrangements. </w:t>
            </w:r>
          </w:p>
          <w:p w14:paraId="7634E5DA" w14:textId="77777777" w:rsidR="007D1DC6" w:rsidRPr="00AB7E74" w:rsidRDefault="007D1DC6" w:rsidP="007221C7">
            <w:pPr>
              <w:widowControl w:val="0"/>
              <w:overflowPunct w:val="0"/>
              <w:autoSpaceDE w:val="0"/>
              <w:autoSpaceDN w:val="0"/>
              <w:adjustRightInd w:val="0"/>
              <w:rPr>
                <w:rFonts w:ascii="Arial" w:hAnsi="Arial" w:cs="Arial"/>
                <w:kern w:val="28"/>
              </w:rPr>
            </w:pPr>
            <w:r w:rsidRPr="00AB7E74">
              <w:rPr>
                <w:rFonts w:ascii="Arial" w:hAnsi="Arial" w:cs="Arial"/>
                <w:kern w:val="28"/>
              </w:rPr>
              <w:t>We require children to be picked up immediately to minimise the potential spread of illness. The unwell child is encouraged to keep their distance from peers as much as possible while waiting for a primary caregiver to arrive. An incident, injury, trauma and illness record will be completed and signed by parent/caregiver as soon as practicable, but not later than 24 hours after the onset of illness observed in the Children’s Centre as per Regulation 86-87 under the Education and Care Services Law. In line with SA health, we will follow emerging health directives and acknowledge that requirements for returning to the Children’s Centre may change according to this information.</w:t>
            </w:r>
          </w:p>
          <w:p w14:paraId="6662D700" w14:textId="77777777" w:rsidR="007D1DC6" w:rsidRPr="00AB7E74" w:rsidRDefault="007D1DC6" w:rsidP="007221C7">
            <w:pPr>
              <w:widowControl w:val="0"/>
              <w:overflowPunct w:val="0"/>
              <w:autoSpaceDE w:val="0"/>
              <w:autoSpaceDN w:val="0"/>
              <w:adjustRightInd w:val="0"/>
              <w:rPr>
                <w:rFonts w:ascii="Arial" w:hAnsi="Arial" w:cs="Arial"/>
                <w:kern w:val="28"/>
              </w:rPr>
            </w:pPr>
            <w:r w:rsidRPr="00AB7E74">
              <w:rPr>
                <w:rFonts w:ascii="Arial" w:hAnsi="Arial" w:cs="Arial"/>
                <w:kern w:val="28"/>
              </w:rPr>
              <w:t xml:space="preserve">In an emergency, </w:t>
            </w:r>
            <w:r>
              <w:rPr>
                <w:rFonts w:ascii="Arial" w:hAnsi="Arial" w:cs="Arial"/>
                <w:kern w:val="28"/>
              </w:rPr>
              <w:t>educators</w:t>
            </w:r>
            <w:r w:rsidRPr="00AB7E74">
              <w:rPr>
                <w:rFonts w:ascii="Arial" w:hAnsi="Arial" w:cs="Arial"/>
                <w:kern w:val="28"/>
              </w:rPr>
              <w:t xml:space="preserve"> will phone the SA Ambulance Service for advice and/or transportation and contact</w:t>
            </w:r>
            <w:r>
              <w:rPr>
                <w:rFonts w:ascii="Arial" w:hAnsi="Arial" w:cs="Arial"/>
                <w:kern w:val="28"/>
              </w:rPr>
              <w:t xml:space="preserve"> p</w:t>
            </w:r>
            <w:r w:rsidRPr="00AB7E74">
              <w:rPr>
                <w:rFonts w:ascii="Arial" w:hAnsi="Arial" w:cs="Arial"/>
                <w:kern w:val="28"/>
              </w:rPr>
              <w:t xml:space="preserve">arents/caregivers immediately. Some infections have minimum exclusion periods from education and care services. Children’s Centre </w:t>
            </w:r>
            <w:r>
              <w:rPr>
                <w:rFonts w:ascii="Arial" w:hAnsi="Arial" w:cs="Arial"/>
                <w:kern w:val="28"/>
              </w:rPr>
              <w:t>educators</w:t>
            </w:r>
            <w:r w:rsidRPr="00AB7E74">
              <w:rPr>
                <w:rFonts w:ascii="Arial" w:hAnsi="Arial" w:cs="Arial"/>
                <w:kern w:val="28"/>
              </w:rPr>
              <w:t xml:space="preserve"> will follow the guidelines of Staying Healthy in Childcare and will notify families of a child’s exclusion period if required.</w:t>
            </w:r>
          </w:p>
          <w:p w14:paraId="78DF101C" w14:textId="77777777" w:rsidR="007D1DC6" w:rsidRDefault="007D1DC6" w:rsidP="007221C7">
            <w:pPr>
              <w:pStyle w:val="NormalWeb"/>
              <w:spacing w:before="0" w:beforeAutospacing="0" w:after="240" w:afterAutospacing="0"/>
              <w:rPr>
                <w:rStyle w:val="Strong"/>
                <w:rFonts w:ascii="Arial" w:hAnsi="Arial" w:cs="Arial"/>
              </w:rPr>
            </w:pPr>
            <w:r w:rsidRPr="00836C77">
              <w:rPr>
                <w:rStyle w:val="Strong"/>
                <w:rFonts w:ascii="Arial" w:hAnsi="Arial" w:cs="Arial"/>
              </w:rPr>
              <w:lastRenderedPageBreak/>
              <w:t>Illness and Attendance Policy (as per SA Health Guidelines)</w:t>
            </w:r>
          </w:p>
          <w:p w14:paraId="2079FEB4" w14:textId="77777777" w:rsidR="007D1DC6" w:rsidRPr="00836C77" w:rsidRDefault="007D1DC6" w:rsidP="007221C7">
            <w:pPr>
              <w:pStyle w:val="NormalWeb"/>
              <w:spacing w:before="0" w:beforeAutospacing="0" w:after="240" w:afterAutospacing="0"/>
              <w:rPr>
                <w:rFonts w:ascii="Arial" w:hAnsi="Arial" w:cs="Arial"/>
              </w:rPr>
            </w:pPr>
            <w:r w:rsidRPr="00836C77">
              <w:rPr>
                <w:rStyle w:val="Strong"/>
                <w:rFonts w:ascii="Arial" w:hAnsi="Arial" w:cs="Arial"/>
                <w:highlight w:val="yellow"/>
              </w:rPr>
              <w:t xml:space="preserve">In the </w:t>
            </w:r>
            <w:r>
              <w:rPr>
                <w:rStyle w:val="Strong"/>
                <w:rFonts w:ascii="Arial" w:hAnsi="Arial" w:cs="Arial"/>
                <w:highlight w:val="yellow"/>
              </w:rPr>
              <w:t>e</w:t>
            </w:r>
            <w:r w:rsidRPr="00836C77">
              <w:rPr>
                <w:rStyle w:val="Strong"/>
                <w:rFonts w:ascii="Arial" w:hAnsi="Arial" w:cs="Arial"/>
                <w:highlight w:val="yellow"/>
              </w:rPr>
              <w:t>vent that the child has an episode of vomiting or loose bowels at the child care the following will occur:</w:t>
            </w:r>
            <w:r>
              <w:rPr>
                <w:rStyle w:val="Strong"/>
                <w:rFonts w:ascii="Arial" w:hAnsi="Arial" w:cs="Arial"/>
              </w:rPr>
              <w:t xml:space="preserve"> </w:t>
            </w:r>
          </w:p>
          <w:p w14:paraId="032D150A" w14:textId="77777777" w:rsidR="007D1DC6" w:rsidRPr="00836C77" w:rsidRDefault="007D1DC6" w:rsidP="007D1DC6">
            <w:pPr>
              <w:pStyle w:val="NormalWeb"/>
              <w:numPr>
                <w:ilvl w:val="0"/>
                <w:numId w:val="2"/>
              </w:numPr>
              <w:rPr>
                <w:rFonts w:ascii="Arial" w:hAnsi="Arial" w:cs="Arial"/>
              </w:rPr>
            </w:pPr>
            <w:r w:rsidRPr="00836C77">
              <w:rPr>
                <w:rStyle w:val="Strong"/>
                <w:rFonts w:ascii="Arial" w:hAnsi="Arial" w:cs="Arial"/>
              </w:rPr>
              <w:t>Single Episode of Vomiting</w:t>
            </w:r>
            <w:r w:rsidRPr="00836C77">
              <w:rPr>
                <w:rFonts w:ascii="Arial" w:hAnsi="Arial" w:cs="Arial"/>
              </w:rPr>
              <w:t>: In the case of one isolated vomiting incident, educators will monitor the child and assess whether they are well enough to continue participating in activities.</w:t>
            </w:r>
          </w:p>
          <w:p w14:paraId="738CC558" w14:textId="77777777" w:rsidR="007D1DC6" w:rsidRPr="00836C77" w:rsidRDefault="007D1DC6" w:rsidP="007D1DC6">
            <w:pPr>
              <w:pStyle w:val="NormalWeb"/>
              <w:numPr>
                <w:ilvl w:val="0"/>
                <w:numId w:val="2"/>
              </w:numPr>
              <w:rPr>
                <w:rFonts w:ascii="Arial" w:hAnsi="Arial" w:cs="Arial"/>
              </w:rPr>
            </w:pPr>
            <w:r w:rsidRPr="00836C77">
              <w:rPr>
                <w:rStyle w:val="Strong"/>
                <w:rFonts w:ascii="Arial" w:hAnsi="Arial" w:cs="Arial"/>
              </w:rPr>
              <w:t>Multiple Episodes</w:t>
            </w:r>
            <w:r w:rsidRPr="00836C77">
              <w:rPr>
                <w:rFonts w:ascii="Arial" w:hAnsi="Arial" w:cs="Arial"/>
              </w:rPr>
              <w:t>: If a child experiences more than one episode of vomiting or has multiple episodes of loose bowel movements, they must stay home.</w:t>
            </w:r>
          </w:p>
          <w:p w14:paraId="7A7BC152" w14:textId="77777777" w:rsidR="007D1DC6" w:rsidRPr="00063511" w:rsidRDefault="007D1DC6" w:rsidP="007D1DC6">
            <w:pPr>
              <w:pStyle w:val="NormalWeb"/>
              <w:numPr>
                <w:ilvl w:val="0"/>
                <w:numId w:val="2"/>
              </w:numPr>
              <w:rPr>
                <w:rFonts w:ascii="Arial" w:hAnsi="Arial" w:cs="Arial"/>
              </w:rPr>
            </w:pPr>
            <w:r w:rsidRPr="00063511">
              <w:rPr>
                <w:rStyle w:val="Strong"/>
                <w:rFonts w:ascii="Arial" w:hAnsi="Arial" w:cs="Arial"/>
              </w:rPr>
              <w:t>Exclusion Period</w:t>
            </w:r>
            <w:r w:rsidRPr="00063511">
              <w:rPr>
                <w:rFonts w:ascii="Arial" w:hAnsi="Arial" w:cs="Arial"/>
              </w:rPr>
              <w:t xml:space="preserve">: Children must remain at home for </w:t>
            </w:r>
            <w:r w:rsidRPr="00063511">
              <w:rPr>
                <w:rStyle w:val="Strong"/>
                <w:rFonts w:ascii="Arial" w:hAnsi="Arial" w:cs="Arial"/>
              </w:rPr>
              <w:t>48 hours after the last episode</w:t>
            </w:r>
            <w:r w:rsidRPr="00063511">
              <w:rPr>
                <w:rFonts w:ascii="Arial" w:hAnsi="Arial" w:cs="Arial"/>
              </w:rPr>
              <w:t xml:space="preserve"> of vomiting or diarrhoea before returning to care. This is in accordance with SA Health exclusion guidelines to help prevent the spread of infection.</w:t>
            </w:r>
          </w:p>
          <w:p w14:paraId="78B45D66" w14:textId="77777777" w:rsidR="007D1DC6" w:rsidRPr="00063511" w:rsidRDefault="007D1DC6" w:rsidP="007221C7">
            <w:pPr>
              <w:pStyle w:val="NormalWeb"/>
              <w:rPr>
                <w:rFonts w:ascii="Arial" w:hAnsi="Arial" w:cs="Arial"/>
              </w:rPr>
            </w:pPr>
            <w:r w:rsidRPr="00063511">
              <w:rPr>
                <w:rFonts w:ascii="Arial" w:hAnsi="Arial" w:cs="Arial"/>
                <w:b/>
                <w:kern w:val="28"/>
                <w:u w:val="single"/>
              </w:rPr>
              <w:t>Preschool and Child Care recommend that families seek medical advice to support educators to determine if an exclusion period is applicable.</w:t>
            </w:r>
          </w:p>
          <w:p w14:paraId="3A700093" w14:textId="77777777" w:rsidR="007D1DC6" w:rsidRDefault="007D1DC6" w:rsidP="007221C7">
            <w:pPr>
              <w:widowControl w:val="0"/>
              <w:overflowPunct w:val="0"/>
              <w:autoSpaceDE w:val="0"/>
              <w:autoSpaceDN w:val="0"/>
              <w:adjustRightInd w:val="0"/>
              <w:rPr>
                <w:rFonts w:ascii="Arial" w:hAnsi="Arial" w:cs="Arial"/>
                <w:kern w:val="28"/>
              </w:rPr>
            </w:pPr>
            <w:r w:rsidRPr="00AB7E74">
              <w:rPr>
                <w:rFonts w:ascii="Arial" w:hAnsi="Arial" w:cs="Arial"/>
                <w:kern w:val="28"/>
              </w:rPr>
              <w:t>Preschool and Childcare educators may activate the health and wellness policy again if the child is still displaying unwell symptoms.</w:t>
            </w:r>
          </w:p>
          <w:p w14:paraId="75D2DE3E" w14:textId="77777777" w:rsidR="007D1DC6" w:rsidRPr="00AB7E74" w:rsidRDefault="007D1DC6" w:rsidP="007221C7">
            <w:pPr>
              <w:widowControl w:val="0"/>
              <w:overflowPunct w:val="0"/>
              <w:autoSpaceDE w:val="0"/>
              <w:autoSpaceDN w:val="0"/>
              <w:adjustRightInd w:val="0"/>
              <w:rPr>
                <w:rFonts w:ascii="Arial" w:hAnsi="Arial" w:cs="Arial"/>
                <w:kern w:val="28"/>
              </w:rPr>
            </w:pPr>
            <w:r w:rsidRPr="00AB7E74">
              <w:rPr>
                <w:rFonts w:ascii="Arial" w:hAnsi="Arial" w:cs="Arial"/>
                <w:kern w:val="28"/>
                <w:highlight w:val="lightGray"/>
              </w:rPr>
              <w:t xml:space="preserve"> *Excerpt from Staying Healthy in Childcare </w:t>
            </w:r>
            <w:proofErr w:type="spellStart"/>
            <w:r w:rsidRPr="00AB7E74">
              <w:rPr>
                <w:rFonts w:ascii="Arial" w:hAnsi="Arial" w:cs="Arial"/>
                <w:kern w:val="28"/>
                <w:highlight w:val="lightGray"/>
              </w:rPr>
              <w:t>pg</w:t>
            </w:r>
            <w:proofErr w:type="spellEnd"/>
            <w:r w:rsidRPr="00AB7E74">
              <w:rPr>
                <w:rFonts w:ascii="Arial" w:hAnsi="Arial" w:cs="Arial"/>
                <w:kern w:val="28"/>
                <w:highlight w:val="lightGray"/>
              </w:rPr>
              <w:t xml:space="preserve"> 14 – Main Ways to Prevent</w:t>
            </w:r>
          </w:p>
          <w:p w14:paraId="35A4DE5F" w14:textId="77777777" w:rsidR="007D1DC6" w:rsidRPr="00AB7E74" w:rsidRDefault="007D1DC6" w:rsidP="007221C7">
            <w:pPr>
              <w:widowControl w:val="0"/>
              <w:overflowPunct w:val="0"/>
              <w:autoSpaceDE w:val="0"/>
              <w:autoSpaceDN w:val="0"/>
              <w:adjustRightInd w:val="0"/>
              <w:rPr>
                <w:rFonts w:ascii="Arial" w:hAnsi="Arial" w:cs="Arial"/>
                <w:kern w:val="28"/>
              </w:rPr>
            </w:pPr>
          </w:p>
          <w:p w14:paraId="10F3A114" w14:textId="77777777" w:rsidR="007D1DC6" w:rsidRPr="00AB7E74" w:rsidRDefault="007D1DC6" w:rsidP="007221C7">
            <w:pPr>
              <w:widowControl w:val="0"/>
              <w:overflowPunct w:val="0"/>
              <w:autoSpaceDE w:val="0"/>
              <w:autoSpaceDN w:val="0"/>
              <w:adjustRightInd w:val="0"/>
              <w:rPr>
                <w:rFonts w:ascii="Arial" w:hAnsi="Arial" w:cs="Arial"/>
                <w:b/>
                <w:kern w:val="28"/>
                <w:u w:val="single"/>
              </w:rPr>
            </w:pPr>
            <w:r w:rsidRPr="00AB7E74">
              <w:rPr>
                <w:rFonts w:ascii="Arial" w:hAnsi="Arial" w:cs="Arial"/>
                <w:b/>
                <w:kern w:val="28"/>
                <w:u w:val="single"/>
              </w:rPr>
              <w:t>Managing health conditions</w:t>
            </w:r>
          </w:p>
          <w:p w14:paraId="6D774970" w14:textId="77777777" w:rsidR="007D1DC6" w:rsidRPr="00AB7E74" w:rsidRDefault="007D1DC6" w:rsidP="007221C7">
            <w:pPr>
              <w:widowControl w:val="0"/>
              <w:overflowPunct w:val="0"/>
              <w:autoSpaceDE w:val="0"/>
              <w:autoSpaceDN w:val="0"/>
              <w:adjustRightInd w:val="0"/>
              <w:rPr>
                <w:rFonts w:ascii="Arial" w:hAnsi="Arial" w:cs="Arial"/>
                <w:kern w:val="28"/>
              </w:rPr>
            </w:pPr>
            <w:r w:rsidRPr="00AB7E74">
              <w:rPr>
                <w:rFonts w:ascii="Arial" w:hAnsi="Arial" w:cs="Arial"/>
                <w:kern w:val="28"/>
              </w:rPr>
              <w:t>Where medication is required for the treatment of ongoing health conditions (</w:t>
            </w:r>
            <w:proofErr w:type="spellStart"/>
            <w:r w:rsidRPr="00AB7E74">
              <w:rPr>
                <w:rFonts w:ascii="Arial" w:hAnsi="Arial" w:cs="Arial"/>
                <w:kern w:val="28"/>
              </w:rPr>
              <w:t>eg.</w:t>
            </w:r>
            <w:proofErr w:type="spellEnd"/>
            <w:r w:rsidRPr="00AB7E74">
              <w:rPr>
                <w:rFonts w:ascii="Arial" w:hAnsi="Arial" w:cs="Arial"/>
                <w:kern w:val="28"/>
              </w:rPr>
              <w:t xml:space="preserve"> Asthma, anaphylaxis, diabetes) the Children’s Centre will require the necessary documentation outlined in Regulation 90 under the Education and Care Service Law to be completed (</w:t>
            </w:r>
            <w:proofErr w:type="spellStart"/>
            <w:proofErr w:type="gramStart"/>
            <w:r w:rsidRPr="00AB7E74">
              <w:rPr>
                <w:rFonts w:ascii="Arial" w:hAnsi="Arial" w:cs="Arial"/>
                <w:kern w:val="28"/>
              </w:rPr>
              <w:t>eg</w:t>
            </w:r>
            <w:proofErr w:type="spellEnd"/>
            <w:proofErr w:type="gramEnd"/>
            <w:r w:rsidRPr="00AB7E74">
              <w:rPr>
                <w:rFonts w:ascii="Arial" w:hAnsi="Arial" w:cs="Arial"/>
                <w:kern w:val="28"/>
              </w:rPr>
              <w:t xml:space="preserve"> health management plan, medication agreement, safety and risk management plan, health support agreement). Necessary documentation is also required for non-prescription medications including creams, gels and sprays.</w:t>
            </w:r>
          </w:p>
          <w:p w14:paraId="14495157" w14:textId="77777777" w:rsidR="007D1DC6" w:rsidRPr="00AB7E74" w:rsidRDefault="007D1DC6" w:rsidP="007221C7">
            <w:pPr>
              <w:widowControl w:val="0"/>
              <w:overflowPunct w:val="0"/>
              <w:autoSpaceDE w:val="0"/>
              <w:autoSpaceDN w:val="0"/>
              <w:adjustRightInd w:val="0"/>
              <w:rPr>
                <w:rFonts w:ascii="Arial" w:hAnsi="Arial" w:cs="Arial"/>
                <w:kern w:val="28"/>
              </w:rPr>
            </w:pPr>
            <w:r w:rsidRPr="00AB7E74">
              <w:rPr>
                <w:rFonts w:ascii="Arial" w:hAnsi="Arial" w:cs="Arial"/>
                <w:kern w:val="28"/>
              </w:rPr>
              <w:t xml:space="preserve">Once parents/caregivers have collaborated to complete the necessary documentation required, </w:t>
            </w:r>
            <w:r>
              <w:rPr>
                <w:rFonts w:ascii="Arial" w:hAnsi="Arial" w:cs="Arial"/>
                <w:kern w:val="28"/>
              </w:rPr>
              <w:t>educators</w:t>
            </w:r>
            <w:r w:rsidRPr="00AB7E74">
              <w:rPr>
                <w:rFonts w:ascii="Arial" w:hAnsi="Arial" w:cs="Arial"/>
                <w:kern w:val="28"/>
              </w:rPr>
              <w:t xml:space="preserve"> will administer authorised medication as per Regulation 92-96 under the Education and Care Services Law.</w:t>
            </w:r>
          </w:p>
          <w:p w14:paraId="5BC22FA0" w14:textId="77777777" w:rsidR="007D1DC6" w:rsidRPr="00AB7E74" w:rsidRDefault="007D1DC6" w:rsidP="007221C7">
            <w:pPr>
              <w:widowControl w:val="0"/>
              <w:overflowPunct w:val="0"/>
              <w:autoSpaceDE w:val="0"/>
              <w:autoSpaceDN w:val="0"/>
              <w:adjustRightInd w:val="0"/>
              <w:rPr>
                <w:rFonts w:ascii="Arial" w:hAnsi="Arial" w:cs="Arial"/>
                <w:b/>
                <w:kern w:val="28"/>
                <w:u w:val="single"/>
              </w:rPr>
            </w:pPr>
          </w:p>
          <w:p w14:paraId="43A9EFBB" w14:textId="77777777" w:rsidR="007D1DC6" w:rsidRPr="00AB7E74" w:rsidRDefault="007D1DC6" w:rsidP="007221C7">
            <w:pPr>
              <w:widowControl w:val="0"/>
              <w:overflowPunct w:val="0"/>
              <w:autoSpaceDE w:val="0"/>
              <w:autoSpaceDN w:val="0"/>
              <w:adjustRightInd w:val="0"/>
              <w:rPr>
                <w:rFonts w:ascii="Arial" w:hAnsi="Arial" w:cs="Arial"/>
                <w:b/>
                <w:kern w:val="28"/>
                <w:u w:val="single"/>
              </w:rPr>
            </w:pPr>
            <w:r w:rsidRPr="00AB7E74">
              <w:rPr>
                <w:rFonts w:ascii="Arial" w:hAnsi="Arial" w:cs="Arial"/>
                <w:b/>
                <w:kern w:val="28"/>
                <w:u w:val="single"/>
              </w:rPr>
              <w:t>How parents/caregivers will support their child’s health management</w:t>
            </w:r>
          </w:p>
          <w:p w14:paraId="695EB445" w14:textId="77777777" w:rsidR="007D1DC6" w:rsidRPr="00AB7E74" w:rsidRDefault="007D1DC6" w:rsidP="007221C7">
            <w:pPr>
              <w:widowControl w:val="0"/>
              <w:overflowPunct w:val="0"/>
              <w:autoSpaceDE w:val="0"/>
              <w:autoSpaceDN w:val="0"/>
              <w:adjustRightInd w:val="0"/>
              <w:ind w:left="720"/>
              <w:rPr>
                <w:rFonts w:ascii="Arial" w:hAnsi="Arial" w:cs="Arial"/>
                <w:kern w:val="28"/>
              </w:rPr>
            </w:pPr>
            <w:r w:rsidRPr="00AB7E74">
              <w:rPr>
                <w:rFonts w:ascii="Arial" w:hAnsi="Arial" w:cs="Arial"/>
                <w:kern w:val="28"/>
              </w:rPr>
              <w:t>• Fill in the necessary documentation required</w:t>
            </w:r>
          </w:p>
          <w:p w14:paraId="7136A503" w14:textId="77777777" w:rsidR="007D1DC6" w:rsidRPr="00AB7E74" w:rsidRDefault="007D1DC6" w:rsidP="007221C7">
            <w:pPr>
              <w:widowControl w:val="0"/>
              <w:overflowPunct w:val="0"/>
              <w:autoSpaceDE w:val="0"/>
              <w:autoSpaceDN w:val="0"/>
              <w:adjustRightInd w:val="0"/>
              <w:ind w:left="720"/>
              <w:rPr>
                <w:rFonts w:ascii="Arial" w:hAnsi="Arial" w:cs="Arial"/>
                <w:kern w:val="28"/>
              </w:rPr>
            </w:pPr>
            <w:r w:rsidRPr="00AB7E74">
              <w:rPr>
                <w:rFonts w:ascii="Arial" w:hAnsi="Arial" w:cs="Arial"/>
                <w:kern w:val="28"/>
              </w:rPr>
              <w:t xml:space="preserve">• Give all necessary medication to Children’s Centre </w:t>
            </w:r>
            <w:r>
              <w:rPr>
                <w:rFonts w:ascii="Arial" w:hAnsi="Arial" w:cs="Arial"/>
                <w:kern w:val="28"/>
              </w:rPr>
              <w:t>educators</w:t>
            </w:r>
            <w:r w:rsidRPr="00AB7E74">
              <w:rPr>
                <w:rFonts w:ascii="Arial" w:hAnsi="Arial" w:cs="Arial"/>
                <w:kern w:val="28"/>
              </w:rPr>
              <w:t>. Do not leave any prescribed or non-prescribed medication in your child’s bag.</w:t>
            </w:r>
          </w:p>
          <w:p w14:paraId="58655E26" w14:textId="77777777" w:rsidR="007D1DC6" w:rsidRPr="00AB7E74" w:rsidRDefault="007D1DC6" w:rsidP="007221C7">
            <w:pPr>
              <w:widowControl w:val="0"/>
              <w:overflowPunct w:val="0"/>
              <w:autoSpaceDE w:val="0"/>
              <w:autoSpaceDN w:val="0"/>
              <w:adjustRightInd w:val="0"/>
              <w:ind w:left="720"/>
              <w:rPr>
                <w:rFonts w:ascii="Arial" w:hAnsi="Arial" w:cs="Arial"/>
                <w:kern w:val="28"/>
              </w:rPr>
            </w:pPr>
            <w:r w:rsidRPr="00AB7E74">
              <w:rPr>
                <w:rFonts w:ascii="Arial" w:hAnsi="Arial" w:cs="Arial"/>
                <w:kern w:val="28"/>
              </w:rPr>
              <w:t>• Ensure that all medication is given to the Children’s Centre in its original, unopened and sealed packaging with a pharmacy label, including the name of the child to whom the medication is to be administered.</w:t>
            </w:r>
          </w:p>
          <w:p w14:paraId="43D9AD99" w14:textId="77777777" w:rsidR="007D1DC6" w:rsidRPr="00AB7E74" w:rsidRDefault="007D1DC6" w:rsidP="007221C7">
            <w:pPr>
              <w:widowControl w:val="0"/>
              <w:overflowPunct w:val="0"/>
              <w:autoSpaceDE w:val="0"/>
              <w:autoSpaceDN w:val="0"/>
              <w:adjustRightInd w:val="0"/>
              <w:ind w:left="720"/>
              <w:rPr>
                <w:rFonts w:ascii="Arial" w:hAnsi="Arial" w:cs="Arial"/>
                <w:kern w:val="28"/>
              </w:rPr>
            </w:pPr>
            <w:r w:rsidRPr="00AB7E74">
              <w:rPr>
                <w:rFonts w:ascii="Arial" w:hAnsi="Arial" w:cs="Arial"/>
                <w:kern w:val="28"/>
              </w:rPr>
              <w:t>• Administer the child’s first dose of medication at home to ensure no reactions occur.</w:t>
            </w:r>
          </w:p>
          <w:p w14:paraId="10E59F9A" w14:textId="77777777" w:rsidR="007D1DC6" w:rsidRPr="00AB7E74" w:rsidRDefault="007D1DC6" w:rsidP="007221C7">
            <w:pPr>
              <w:widowControl w:val="0"/>
              <w:overflowPunct w:val="0"/>
              <w:autoSpaceDE w:val="0"/>
              <w:autoSpaceDN w:val="0"/>
              <w:adjustRightInd w:val="0"/>
              <w:ind w:left="720"/>
              <w:rPr>
                <w:rFonts w:ascii="Arial" w:hAnsi="Arial" w:cs="Arial"/>
                <w:kern w:val="28"/>
              </w:rPr>
            </w:pPr>
            <w:r w:rsidRPr="00AB7E74">
              <w:rPr>
                <w:rFonts w:ascii="Arial" w:hAnsi="Arial" w:cs="Arial"/>
                <w:kern w:val="28"/>
              </w:rPr>
              <w:t>• Check expiry or use by dates of medication and replace them when required.</w:t>
            </w:r>
          </w:p>
          <w:p w14:paraId="54288254" w14:textId="77777777" w:rsidR="007D1DC6" w:rsidRPr="00AB7E74" w:rsidRDefault="007D1DC6" w:rsidP="007221C7">
            <w:pPr>
              <w:widowControl w:val="0"/>
              <w:overflowPunct w:val="0"/>
              <w:autoSpaceDE w:val="0"/>
              <w:autoSpaceDN w:val="0"/>
              <w:adjustRightInd w:val="0"/>
              <w:ind w:left="720"/>
              <w:rPr>
                <w:rFonts w:ascii="Arial" w:hAnsi="Arial" w:cs="Arial"/>
                <w:kern w:val="28"/>
              </w:rPr>
            </w:pPr>
            <w:r w:rsidRPr="00AB7E74">
              <w:rPr>
                <w:rFonts w:ascii="Arial" w:hAnsi="Arial" w:cs="Arial"/>
                <w:kern w:val="28"/>
              </w:rPr>
              <w:t xml:space="preserve">• Notify Children’s Centre </w:t>
            </w:r>
            <w:r>
              <w:rPr>
                <w:rFonts w:ascii="Arial" w:hAnsi="Arial" w:cs="Arial"/>
                <w:kern w:val="28"/>
              </w:rPr>
              <w:t>educators</w:t>
            </w:r>
            <w:r w:rsidRPr="00AB7E74">
              <w:rPr>
                <w:rFonts w:ascii="Arial" w:hAnsi="Arial" w:cs="Arial"/>
                <w:kern w:val="28"/>
              </w:rPr>
              <w:t xml:space="preserve"> if your child is taking any medication</w:t>
            </w:r>
            <w:r>
              <w:rPr>
                <w:rFonts w:ascii="Arial" w:hAnsi="Arial" w:cs="Arial"/>
                <w:kern w:val="28"/>
              </w:rPr>
              <w:t xml:space="preserve"> at home. </w:t>
            </w:r>
          </w:p>
          <w:p w14:paraId="311CB0E0" w14:textId="77777777" w:rsidR="007D1DC6" w:rsidRPr="00AB7E74" w:rsidRDefault="007D1DC6" w:rsidP="007221C7">
            <w:pPr>
              <w:widowControl w:val="0"/>
              <w:overflowPunct w:val="0"/>
              <w:autoSpaceDE w:val="0"/>
              <w:autoSpaceDN w:val="0"/>
              <w:adjustRightInd w:val="0"/>
              <w:ind w:left="720"/>
              <w:rPr>
                <w:rFonts w:ascii="Arial" w:hAnsi="Arial" w:cs="Arial"/>
                <w:kern w:val="28"/>
              </w:rPr>
            </w:pPr>
            <w:r w:rsidRPr="00AB7E74">
              <w:rPr>
                <w:rFonts w:ascii="Arial" w:hAnsi="Arial" w:cs="Arial"/>
                <w:kern w:val="28"/>
              </w:rPr>
              <w:t xml:space="preserve">• Keep the Children’s Centre </w:t>
            </w:r>
            <w:r>
              <w:rPr>
                <w:rFonts w:ascii="Arial" w:hAnsi="Arial" w:cs="Arial"/>
                <w:kern w:val="28"/>
              </w:rPr>
              <w:t>educators</w:t>
            </w:r>
            <w:r w:rsidRPr="00AB7E74">
              <w:rPr>
                <w:rFonts w:ascii="Arial" w:hAnsi="Arial" w:cs="Arial"/>
                <w:kern w:val="28"/>
              </w:rPr>
              <w:t xml:space="preserve"> informed of any health and/or medical issues relating to your child.</w:t>
            </w:r>
          </w:p>
          <w:p w14:paraId="34BA4B7B" w14:textId="77777777" w:rsidR="007D1DC6" w:rsidRPr="00AB7E74" w:rsidRDefault="007D1DC6" w:rsidP="007221C7">
            <w:pPr>
              <w:widowControl w:val="0"/>
              <w:overflowPunct w:val="0"/>
              <w:autoSpaceDE w:val="0"/>
              <w:autoSpaceDN w:val="0"/>
              <w:adjustRightInd w:val="0"/>
              <w:ind w:left="720"/>
              <w:rPr>
                <w:rFonts w:ascii="Arial" w:hAnsi="Arial" w:cs="Arial"/>
                <w:kern w:val="28"/>
              </w:rPr>
            </w:pPr>
            <w:r w:rsidRPr="00AB7E74">
              <w:rPr>
                <w:rFonts w:ascii="Arial" w:hAnsi="Arial" w:cs="Arial"/>
                <w:kern w:val="28"/>
              </w:rPr>
              <w:lastRenderedPageBreak/>
              <w:t>• Review and/or update the necessary documentation when required.</w:t>
            </w:r>
          </w:p>
          <w:p w14:paraId="69EE79CF" w14:textId="77777777" w:rsidR="007D1DC6" w:rsidRPr="00AB7E74" w:rsidRDefault="007D1DC6" w:rsidP="007221C7">
            <w:pPr>
              <w:widowControl w:val="0"/>
              <w:overflowPunct w:val="0"/>
              <w:autoSpaceDE w:val="0"/>
              <w:autoSpaceDN w:val="0"/>
              <w:adjustRightInd w:val="0"/>
              <w:rPr>
                <w:rFonts w:ascii="Arial" w:hAnsi="Arial" w:cs="Arial"/>
                <w:kern w:val="28"/>
              </w:rPr>
            </w:pPr>
          </w:p>
          <w:p w14:paraId="7CC3E904" w14:textId="77777777" w:rsidR="007D1DC6" w:rsidRPr="00AB7E74" w:rsidRDefault="007D1DC6" w:rsidP="007221C7">
            <w:pPr>
              <w:widowControl w:val="0"/>
              <w:overflowPunct w:val="0"/>
              <w:autoSpaceDE w:val="0"/>
              <w:autoSpaceDN w:val="0"/>
              <w:adjustRightInd w:val="0"/>
              <w:rPr>
                <w:rFonts w:ascii="Arial" w:hAnsi="Arial" w:cs="Arial"/>
                <w:kern w:val="28"/>
              </w:rPr>
            </w:pPr>
            <w:r w:rsidRPr="00AB7E74">
              <w:rPr>
                <w:rFonts w:ascii="Arial" w:hAnsi="Arial" w:cs="Arial"/>
                <w:kern w:val="28"/>
              </w:rPr>
              <w:t>****In an Anaphylactic or Asthma emergency, medication may be administered to a child without authorisation. Regulation 94 under the Education and Care Service Law 2011****</w:t>
            </w:r>
          </w:p>
          <w:p w14:paraId="02CF3119" w14:textId="77777777" w:rsidR="007D1DC6" w:rsidRPr="00AB7E74" w:rsidRDefault="007D1DC6" w:rsidP="007221C7">
            <w:pPr>
              <w:widowControl w:val="0"/>
              <w:overflowPunct w:val="0"/>
              <w:autoSpaceDE w:val="0"/>
              <w:autoSpaceDN w:val="0"/>
              <w:adjustRightInd w:val="0"/>
              <w:rPr>
                <w:rFonts w:ascii="Arial" w:hAnsi="Arial" w:cs="Arial"/>
                <w:kern w:val="28"/>
              </w:rPr>
            </w:pPr>
          </w:p>
          <w:p w14:paraId="619B3C42" w14:textId="77777777" w:rsidR="007D1DC6" w:rsidRPr="00AB7E74" w:rsidRDefault="007D1DC6" w:rsidP="007221C7">
            <w:pPr>
              <w:widowControl w:val="0"/>
              <w:overflowPunct w:val="0"/>
              <w:autoSpaceDE w:val="0"/>
              <w:autoSpaceDN w:val="0"/>
              <w:adjustRightInd w:val="0"/>
              <w:rPr>
                <w:rFonts w:ascii="Arial" w:hAnsi="Arial" w:cs="Arial"/>
                <w:kern w:val="28"/>
              </w:rPr>
            </w:pPr>
            <w:r w:rsidRPr="00AB7E74">
              <w:rPr>
                <w:rFonts w:ascii="Arial" w:hAnsi="Arial" w:cs="Arial"/>
                <w:kern w:val="28"/>
              </w:rPr>
              <w:t>Other policies that support this policy are:</w:t>
            </w:r>
          </w:p>
          <w:p w14:paraId="1B63A851" w14:textId="77777777" w:rsidR="007D1DC6" w:rsidRPr="00AB7E74" w:rsidRDefault="007D1DC6" w:rsidP="007221C7">
            <w:pPr>
              <w:widowControl w:val="0"/>
              <w:overflowPunct w:val="0"/>
              <w:autoSpaceDE w:val="0"/>
              <w:autoSpaceDN w:val="0"/>
              <w:adjustRightInd w:val="0"/>
              <w:rPr>
                <w:rFonts w:ascii="Arial" w:hAnsi="Arial" w:cs="Arial"/>
                <w:kern w:val="28"/>
              </w:rPr>
            </w:pPr>
            <w:r w:rsidRPr="00AB7E74">
              <w:rPr>
                <w:rFonts w:ascii="Arial" w:hAnsi="Arial" w:cs="Arial"/>
                <w:kern w:val="28"/>
              </w:rPr>
              <w:t>• Immunisation and Infectious Diseases</w:t>
            </w:r>
          </w:p>
          <w:p w14:paraId="593CEAF7" w14:textId="77777777" w:rsidR="007D1DC6" w:rsidRPr="00AB7E74" w:rsidRDefault="007D1DC6" w:rsidP="007221C7">
            <w:pPr>
              <w:widowControl w:val="0"/>
              <w:overflowPunct w:val="0"/>
              <w:autoSpaceDE w:val="0"/>
              <w:autoSpaceDN w:val="0"/>
              <w:adjustRightInd w:val="0"/>
              <w:rPr>
                <w:rFonts w:ascii="Arial" w:hAnsi="Arial" w:cs="Arial"/>
                <w:kern w:val="28"/>
              </w:rPr>
            </w:pPr>
            <w:r w:rsidRPr="00AB7E74">
              <w:rPr>
                <w:rFonts w:ascii="Arial" w:hAnsi="Arial" w:cs="Arial"/>
                <w:kern w:val="28"/>
              </w:rPr>
              <w:t>• DfE First Aid and Infection Control Standard</w:t>
            </w:r>
            <w:r>
              <w:rPr>
                <w:rFonts w:ascii="Arial" w:hAnsi="Arial" w:cs="Arial"/>
                <w:kern w:val="28"/>
              </w:rPr>
              <w:t xml:space="preserve"> (available on the DfE website) </w:t>
            </w:r>
          </w:p>
          <w:p w14:paraId="110EE0C6" w14:textId="77777777" w:rsidR="007D1DC6" w:rsidRPr="00AB7E74" w:rsidRDefault="007D1DC6" w:rsidP="007221C7">
            <w:pPr>
              <w:widowControl w:val="0"/>
              <w:overflowPunct w:val="0"/>
              <w:autoSpaceDE w:val="0"/>
              <w:autoSpaceDN w:val="0"/>
              <w:adjustRightInd w:val="0"/>
              <w:jc w:val="both"/>
              <w:rPr>
                <w:rFonts w:ascii="Arial" w:hAnsi="Arial" w:cs="Arial"/>
                <w:b/>
                <w:bCs/>
                <w:kern w:val="28"/>
                <w:u w:val="single"/>
              </w:rPr>
            </w:pPr>
          </w:p>
        </w:tc>
      </w:tr>
      <w:tr w:rsidR="007D1DC6" w:rsidRPr="00AB7E74" w14:paraId="1C3CACB3" w14:textId="77777777" w:rsidTr="007221C7">
        <w:tc>
          <w:tcPr>
            <w:tcW w:w="10540" w:type="dxa"/>
            <w:shd w:val="clear" w:color="auto" w:fill="auto"/>
          </w:tcPr>
          <w:p w14:paraId="41E57EC2" w14:textId="77777777" w:rsidR="007D1DC6" w:rsidRPr="00AB7E74" w:rsidRDefault="007D1DC6" w:rsidP="007221C7">
            <w:pPr>
              <w:widowControl w:val="0"/>
              <w:overflowPunct w:val="0"/>
              <w:autoSpaceDE w:val="0"/>
              <w:autoSpaceDN w:val="0"/>
              <w:adjustRightInd w:val="0"/>
              <w:rPr>
                <w:rFonts w:ascii="Arial" w:hAnsi="Arial" w:cs="Arial"/>
                <w:b/>
                <w:bCs/>
                <w:kern w:val="28"/>
                <w:sz w:val="44"/>
                <w:u w:val="single"/>
              </w:rPr>
            </w:pPr>
          </w:p>
        </w:tc>
      </w:tr>
    </w:tbl>
    <w:p w14:paraId="5EBA1FCC" w14:textId="77777777" w:rsidR="007D1DC6" w:rsidRPr="00657693" w:rsidRDefault="007D1DC6" w:rsidP="007D1DC6">
      <w:pPr>
        <w:widowControl w:val="0"/>
        <w:overflowPunct w:val="0"/>
        <w:autoSpaceDE w:val="0"/>
        <w:autoSpaceDN w:val="0"/>
        <w:adjustRightInd w:val="0"/>
        <w:jc w:val="both"/>
        <w:rPr>
          <w:rFonts w:ascii="Arial" w:hAnsi="Arial" w:cs="Arial"/>
          <w:b/>
          <w:bCs/>
          <w:kern w:val="28"/>
          <w:u w:val="single"/>
        </w:rPr>
      </w:pPr>
    </w:p>
    <w:tbl>
      <w:tblPr>
        <w:tblW w:w="11482" w:type="dxa"/>
        <w:tblInd w:w="-1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7680"/>
      </w:tblGrid>
      <w:tr w:rsidR="007D1DC6" w:rsidRPr="00657693" w14:paraId="27A58F67" w14:textId="77777777" w:rsidTr="0091399A">
        <w:trPr>
          <w:trHeight w:val="241"/>
        </w:trPr>
        <w:tc>
          <w:tcPr>
            <w:tcW w:w="3802" w:type="dxa"/>
            <w:shd w:val="clear" w:color="auto" w:fill="DEEAF6"/>
          </w:tcPr>
          <w:p w14:paraId="2562CDF8" w14:textId="2A4B352E" w:rsidR="007D1DC6" w:rsidRPr="00657693" w:rsidRDefault="007D1DC6" w:rsidP="007221C7">
            <w:pPr>
              <w:widowControl w:val="0"/>
              <w:overflowPunct w:val="0"/>
              <w:autoSpaceDE w:val="0"/>
              <w:autoSpaceDN w:val="0"/>
              <w:adjustRightInd w:val="0"/>
              <w:jc w:val="both"/>
              <w:rPr>
                <w:rFonts w:ascii="Arial" w:hAnsi="Arial" w:cs="Arial"/>
                <w:b/>
                <w:bCs/>
                <w:kern w:val="28"/>
              </w:rPr>
            </w:pPr>
          </w:p>
        </w:tc>
        <w:tc>
          <w:tcPr>
            <w:tcW w:w="7680" w:type="dxa"/>
            <w:shd w:val="clear" w:color="auto" w:fill="DEEAF6"/>
          </w:tcPr>
          <w:p w14:paraId="5A847C68" w14:textId="1BF893CF" w:rsidR="007D1DC6" w:rsidRPr="00657693" w:rsidRDefault="007D1DC6" w:rsidP="007221C7">
            <w:pPr>
              <w:widowControl w:val="0"/>
              <w:overflowPunct w:val="0"/>
              <w:autoSpaceDE w:val="0"/>
              <w:autoSpaceDN w:val="0"/>
              <w:adjustRightInd w:val="0"/>
              <w:jc w:val="both"/>
              <w:rPr>
                <w:rFonts w:ascii="Arial" w:hAnsi="Arial" w:cs="Arial"/>
                <w:b/>
                <w:kern w:val="28"/>
              </w:rPr>
            </w:pPr>
          </w:p>
        </w:tc>
      </w:tr>
      <w:tr w:rsidR="007D1DC6" w:rsidRPr="00657693" w14:paraId="23BC933D" w14:textId="77777777" w:rsidTr="0091399A">
        <w:trPr>
          <w:trHeight w:val="237"/>
        </w:trPr>
        <w:tc>
          <w:tcPr>
            <w:tcW w:w="3802" w:type="dxa"/>
            <w:shd w:val="clear" w:color="auto" w:fill="FFF2CC"/>
          </w:tcPr>
          <w:p w14:paraId="157B324B" w14:textId="2536DB54" w:rsidR="007D1DC6" w:rsidRPr="00657693" w:rsidRDefault="007D1DC6" w:rsidP="007221C7">
            <w:pPr>
              <w:widowControl w:val="0"/>
              <w:overflowPunct w:val="0"/>
              <w:autoSpaceDE w:val="0"/>
              <w:autoSpaceDN w:val="0"/>
              <w:adjustRightInd w:val="0"/>
              <w:jc w:val="both"/>
              <w:rPr>
                <w:rFonts w:ascii="Arial" w:hAnsi="Arial" w:cs="Arial"/>
                <w:b/>
                <w:bCs/>
                <w:kern w:val="28"/>
              </w:rPr>
            </w:pPr>
          </w:p>
        </w:tc>
        <w:tc>
          <w:tcPr>
            <w:tcW w:w="7680" w:type="dxa"/>
            <w:shd w:val="clear" w:color="auto" w:fill="FFF2CC"/>
          </w:tcPr>
          <w:p w14:paraId="324532DA" w14:textId="2243FC68" w:rsidR="007D1DC6" w:rsidRPr="00657693" w:rsidRDefault="007D1DC6" w:rsidP="007221C7">
            <w:pPr>
              <w:widowControl w:val="0"/>
              <w:overflowPunct w:val="0"/>
              <w:autoSpaceDE w:val="0"/>
              <w:autoSpaceDN w:val="0"/>
              <w:adjustRightInd w:val="0"/>
              <w:jc w:val="both"/>
              <w:rPr>
                <w:rFonts w:ascii="Arial" w:hAnsi="Arial" w:cs="Arial"/>
                <w:b/>
                <w:kern w:val="28"/>
              </w:rPr>
            </w:pPr>
          </w:p>
        </w:tc>
      </w:tr>
      <w:tr w:rsidR="007D1DC6" w:rsidRPr="00657693" w14:paraId="5A6E738C" w14:textId="77777777" w:rsidTr="0091399A">
        <w:trPr>
          <w:trHeight w:val="241"/>
        </w:trPr>
        <w:tc>
          <w:tcPr>
            <w:tcW w:w="3802" w:type="dxa"/>
            <w:shd w:val="clear" w:color="auto" w:fill="DEEAF6"/>
          </w:tcPr>
          <w:p w14:paraId="14694DED" w14:textId="53D938D6" w:rsidR="007D1DC6" w:rsidRPr="00657693" w:rsidRDefault="007D1DC6" w:rsidP="007221C7">
            <w:pPr>
              <w:widowControl w:val="0"/>
              <w:overflowPunct w:val="0"/>
              <w:autoSpaceDE w:val="0"/>
              <w:autoSpaceDN w:val="0"/>
              <w:adjustRightInd w:val="0"/>
              <w:jc w:val="both"/>
              <w:rPr>
                <w:rFonts w:ascii="Arial" w:hAnsi="Arial" w:cs="Arial"/>
                <w:b/>
                <w:bCs/>
                <w:kern w:val="28"/>
              </w:rPr>
            </w:pPr>
          </w:p>
        </w:tc>
        <w:tc>
          <w:tcPr>
            <w:tcW w:w="7680" w:type="dxa"/>
            <w:shd w:val="clear" w:color="auto" w:fill="DEEAF6"/>
          </w:tcPr>
          <w:p w14:paraId="26DF2A82" w14:textId="4488EC2C" w:rsidR="007D1DC6" w:rsidRPr="00657693" w:rsidRDefault="007D1DC6" w:rsidP="007221C7">
            <w:pPr>
              <w:widowControl w:val="0"/>
              <w:overflowPunct w:val="0"/>
              <w:autoSpaceDE w:val="0"/>
              <w:autoSpaceDN w:val="0"/>
              <w:adjustRightInd w:val="0"/>
              <w:jc w:val="both"/>
              <w:rPr>
                <w:rFonts w:ascii="Arial" w:hAnsi="Arial" w:cs="Arial"/>
                <w:b/>
                <w:kern w:val="28"/>
              </w:rPr>
            </w:pPr>
          </w:p>
        </w:tc>
      </w:tr>
      <w:tr w:rsidR="007D1DC6" w:rsidRPr="00657693" w14:paraId="7EC6CFB1" w14:textId="77777777" w:rsidTr="0091399A">
        <w:trPr>
          <w:trHeight w:val="241"/>
        </w:trPr>
        <w:tc>
          <w:tcPr>
            <w:tcW w:w="3802" w:type="dxa"/>
            <w:shd w:val="clear" w:color="auto" w:fill="DEEAF6"/>
          </w:tcPr>
          <w:p w14:paraId="5A53B626" w14:textId="240A1C79" w:rsidR="007D1DC6" w:rsidRPr="00657693" w:rsidRDefault="007D1DC6" w:rsidP="007221C7">
            <w:pPr>
              <w:widowControl w:val="0"/>
              <w:overflowPunct w:val="0"/>
              <w:autoSpaceDE w:val="0"/>
              <w:autoSpaceDN w:val="0"/>
              <w:adjustRightInd w:val="0"/>
              <w:jc w:val="both"/>
              <w:rPr>
                <w:rFonts w:ascii="Arial" w:hAnsi="Arial" w:cs="Arial"/>
                <w:b/>
                <w:bCs/>
                <w:kern w:val="28"/>
              </w:rPr>
            </w:pPr>
          </w:p>
        </w:tc>
        <w:tc>
          <w:tcPr>
            <w:tcW w:w="7680" w:type="dxa"/>
            <w:shd w:val="clear" w:color="auto" w:fill="DEEAF6"/>
          </w:tcPr>
          <w:p w14:paraId="3DE46A17" w14:textId="4F665650" w:rsidR="007D1DC6" w:rsidRPr="00657693" w:rsidRDefault="007D1DC6" w:rsidP="007221C7">
            <w:pPr>
              <w:widowControl w:val="0"/>
              <w:overflowPunct w:val="0"/>
              <w:autoSpaceDE w:val="0"/>
              <w:autoSpaceDN w:val="0"/>
              <w:adjustRightInd w:val="0"/>
              <w:rPr>
                <w:rFonts w:ascii="Arial" w:hAnsi="Arial" w:cs="Arial"/>
                <w:b/>
                <w:kern w:val="28"/>
              </w:rPr>
            </w:pPr>
          </w:p>
        </w:tc>
      </w:tr>
      <w:tr w:rsidR="007D1DC6" w:rsidRPr="00657693" w14:paraId="41676BD4" w14:textId="77777777" w:rsidTr="0091399A">
        <w:trPr>
          <w:trHeight w:val="585"/>
        </w:trPr>
        <w:tc>
          <w:tcPr>
            <w:tcW w:w="3802" w:type="dxa"/>
            <w:shd w:val="clear" w:color="auto" w:fill="FFF2CC"/>
          </w:tcPr>
          <w:p w14:paraId="2C1AA340" w14:textId="304E4834" w:rsidR="007D1DC6" w:rsidRPr="00657693" w:rsidRDefault="007D1DC6" w:rsidP="007221C7">
            <w:pPr>
              <w:widowControl w:val="0"/>
              <w:overflowPunct w:val="0"/>
              <w:autoSpaceDE w:val="0"/>
              <w:autoSpaceDN w:val="0"/>
              <w:adjustRightInd w:val="0"/>
              <w:ind w:left="2880" w:hanging="2880"/>
              <w:rPr>
                <w:rFonts w:ascii="Arial" w:hAnsi="Arial" w:cs="Arial"/>
                <w:b/>
                <w:bCs/>
                <w:kern w:val="28"/>
              </w:rPr>
            </w:pPr>
          </w:p>
        </w:tc>
        <w:tc>
          <w:tcPr>
            <w:tcW w:w="7680" w:type="dxa"/>
            <w:shd w:val="clear" w:color="auto" w:fill="FFF2CC"/>
          </w:tcPr>
          <w:p w14:paraId="0DF66AAF" w14:textId="32F30687" w:rsidR="007D1DC6" w:rsidRPr="00657693" w:rsidRDefault="007D1DC6" w:rsidP="007221C7">
            <w:pPr>
              <w:widowControl w:val="0"/>
              <w:overflowPunct w:val="0"/>
              <w:autoSpaceDE w:val="0"/>
              <w:autoSpaceDN w:val="0"/>
              <w:adjustRightInd w:val="0"/>
              <w:rPr>
                <w:rFonts w:ascii="Arial" w:hAnsi="Arial" w:cs="Arial"/>
                <w:b/>
                <w:kern w:val="28"/>
              </w:rPr>
            </w:pPr>
          </w:p>
        </w:tc>
      </w:tr>
    </w:tbl>
    <w:p w14:paraId="37A07CF5" w14:textId="77777777" w:rsidR="007D1DC6" w:rsidRPr="00657693" w:rsidRDefault="007D1DC6" w:rsidP="007D1DC6">
      <w:pPr>
        <w:widowControl w:val="0"/>
        <w:overflowPunct w:val="0"/>
        <w:autoSpaceDE w:val="0"/>
        <w:autoSpaceDN w:val="0"/>
        <w:adjustRightInd w:val="0"/>
        <w:jc w:val="both"/>
        <w:rPr>
          <w:rFonts w:ascii="Arial" w:hAnsi="Arial" w:cs="Arial"/>
          <w:b/>
          <w:bCs/>
          <w:kern w:val="28"/>
          <w:u w:val="single"/>
        </w:rPr>
      </w:pPr>
    </w:p>
    <w:p w14:paraId="31AF1A0C" w14:textId="22E68DC9" w:rsidR="00014276" w:rsidRDefault="007D1DC6" w:rsidP="007D1DC6">
      <w:r w:rsidRPr="00657693">
        <w:rPr>
          <w:rFonts w:ascii="Arial" w:hAnsi="Arial" w:cs="Arial"/>
          <w:b/>
          <w:bCs/>
          <w:kern w:val="28"/>
          <w:u w:val="single"/>
        </w:rPr>
        <w:br w:type="page"/>
      </w:r>
    </w:p>
    <w:sectPr w:rsidR="000142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22A29"/>
    <w:multiLevelType w:val="multilevel"/>
    <w:tmpl w:val="544E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1C462D"/>
    <w:multiLevelType w:val="hybridMultilevel"/>
    <w:tmpl w:val="C02C0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C6"/>
    <w:rsid w:val="00014276"/>
    <w:rsid w:val="007D1DC6"/>
    <w:rsid w:val="0091399A"/>
    <w:rsid w:val="009744F4"/>
    <w:rsid w:val="00D46382"/>
    <w:rsid w:val="00E13D1A"/>
    <w:rsid w:val="00E71CD7"/>
    <w:rsid w:val="00F762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7CF1"/>
  <w15:chartTrackingRefBased/>
  <w15:docId w15:val="{166921BB-E507-4600-A6CD-49A970C5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DC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
    <w:name w:val="Char Char Char Char Char Char Char Char Char Char Char Char Char Char Char Char"/>
    <w:basedOn w:val="Normal"/>
    <w:rsid w:val="007D1DC6"/>
    <w:rPr>
      <w:rFonts w:ascii="Arial" w:hAnsi="Arial" w:cs="Arial"/>
      <w:sz w:val="22"/>
      <w:szCs w:val="22"/>
      <w:lang w:eastAsia="en-US"/>
    </w:rPr>
  </w:style>
  <w:style w:type="paragraph" w:styleId="NormalWeb">
    <w:name w:val="Normal (Web)"/>
    <w:basedOn w:val="Normal"/>
    <w:uiPriority w:val="99"/>
    <w:rsid w:val="007D1DC6"/>
    <w:pPr>
      <w:spacing w:before="100" w:beforeAutospacing="1" w:after="100" w:afterAutospacing="1"/>
    </w:pPr>
  </w:style>
  <w:style w:type="character" w:styleId="Strong">
    <w:name w:val="Strong"/>
    <w:uiPriority w:val="22"/>
    <w:qFormat/>
    <w:rsid w:val="007D1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Chris (Woodville Gardens School Birth-6)</dc:creator>
  <cp:keywords/>
  <dc:description/>
  <cp:lastModifiedBy>Stepien, Chris (Woodville Gardens School Birth-6)</cp:lastModifiedBy>
  <cp:revision>3</cp:revision>
  <dcterms:created xsi:type="dcterms:W3CDTF">2026-06-26T01:35:00Z</dcterms:created>
  <dcterms:modified xsi:type="dcterms:W3CDTF">2026-06-26T01:36:00Z</dcterms:modified>
</cp:coreProperties>
</file>