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3F214C16"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8D6CA3">
        <w:rPr>
          <w:rFonts w:ascii="Calibri" w:hAnsi="Calibri" w:cs="Calibri"/>
          <w:sz w:val="48"/>
        </w:rPr>
        <w:t xml:space="preserve">  </w:t>
      </w:r>
      <w:r w:rsidR="00E074C2">
        <w:rPr>
          <w:rFonts w:ascii="Calibri" w:hAnsi="Calibri" w:cs="Calibri"/>
          <w:b/>
          <w:sz w:val="32"/>
        </w:rPr>
        <w:t xml:space="preserve">Friday </w:t>
      </w:r>
      <w:r w:rsidR="00342039">
        <w:rPr>
          <w:rFonts w:ascii="Calibri" w:hAnsi="Calibri" w:cs="Calibri"/>
          <w:b/>
          <w:sz w:val="32"/>
        </w:rPr>
        <w:t>13</w:t>
      </w:r>
      <w:r w:rsidR="003A30B4">
        <w:rPr>
          <w:rFonts w:ascii="Calibri" w:hAnsi="Calibri" w:cs="Calibri"/>
          <w:b/>
          <w:sz w:val="32"/>
        </w:rPr>
        <w:t xml:space="preserve"> February</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366F8604"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E87E16" w:rsidRPr="0032695B">
        <w:rPr>
          <w:rFonts w:cs="Calibri"/>
          <w:b/>
          <w:sz w:val="28"/>
          <w:szCs w:val="24"/>
          <w:u w:val="single"/>
        </w:rPr>
        <w:t>1</w:t>
      </w:r>
    </w:p>
    <w:p w14:paraId="26B9C55F" w14:textId="6C554477" w:rsidR="0037447D" w:rsidRDefault="0037447D" w:rsidP="0037447D">
      <w:pPr>
        <w:pStyle w:val="NoSpacing"/>
        <w:numPr>
          <w:ilvl w:val="0"/>
          <w:numId w:val="2"/>
        </w:numPr>
        <w:rPr>
          <w:rFonts w:cs="Calibri"/>
          <w:bCs/>
          <w:sz w:val="24"/>
          <w:szCs w:val="20"/>
        </w:rPr>
      </w:pPr>
      <w:bookmarkStart w:id="0" w:name="_Hlk124763415"/>
      <w:r w:rsidRPr="00967735">
        <w:rPr>
          <w:rFonts w:cs="Calibri"/>
          <w:b/>
          <w:sz w:val="24"/>
          <w:szCs w:val="20"/>
        </w:rPr>
        <w:t>Victorian Careers and Employment Expo</w:t>
      </w:r>
      <w:r>
        <w:rPr>
          <w:rFonts w:cs="Calibri"/>
          <w:bCs/>
          <w:sz w:val="24"/>
          <w:szCs w:val="20"/>
        </w:rPr>
        <w:t xml:space="preserve"> – </w:t>
      </w:r>
      <w:r w:rsidR="00EB3A77">
        <w:rPr>
          <w:rFonts w:cs="Calibri"/>
          <w:bCs/>
          <w:sz w:val="24"/>
          <w:szCs w:val="20"/>
        </w:rPr>
        <w:t xml:space="preserve">19 </w:t>
      </w:r>
      <w:r w:rsidR="00B0272B">
        <w:rPr>
          <w:rFonts w:cs="Calibri"/>
          <w:bCs/>
          <w:sz w:val="24"/>
          <w:szCs w:val="20"/>
        </w:rPr>
        <w:t>to</w:t>
      </w:r>
      <w:r w:rsidR="00EB3A77">
        <w:rPr>
          <w:rFonts w:cs="Calibri"/>
          <w:bCs/>
          <w:sz w:val="24"/>
          <w:szCs w:val="20"/>
        </w:rPr>
        <w:t xml:space="preserve"> 21</w:t>
      </w:r>
      <w:r>
        <w:rPr>
          <w:rFonts w:cs="Calibri"/>
          <w:bCs/>
          <w:sz w:val="24"/>
          <w:szCs w:val="20"/>
        </w:rPr>
        <w:t xml:space="preserve"> March 202</w:t>
      </w:r>
      <w:r w:rsidR="00EB3A77">
        <w:rPr>
          <w:rFonts w:cs="Calibri"/>
          <w:bCs/>
          <w:sz w:val="24"/>
          <w:szCs w:val="20"/>
        </w:rPr>
        <w:t>6</w:t>
      </w:r>
    </w:p>
    <w:p w14:paraId="6167D294" w14:textId="77777777" w:rsidR="004D0DBE" w:rsidRDefault="004D0DBE" w:rsidP="00C779C2">
      <w:pPr>
        <w:pStyle w:val="NoSpacing"/>
        <w:rPr>
          <w:rFonts w:asciiTheme="minorHAnsi" w:hAnsiTheme="minorHAnsi" w:cstheme="minorHAnsi"/>
          <w:b/>
          <w:sz w:val="24"/>
          <w:szCs w:val="24"/>
        </w:rPr>
      </w:pPr>
    </w:p>
    <w:p w14:paraId="65065B0A" w14:textId="77777777" w:rsidR="00CA6882" w:rsidRPr="00785D60" w:rsidRDefault="00CA6882">
      <w:pPr>
        <w:rPr>
          <w:rFonts w:asciiTheme="minorHAnsi" w:hAnsiTheme="minorHAnsi" w:cstheme="minorHAnsi"/>
          <w:b/>
          <w:sz w:val="46"/>
          <w:szCs w:val="46"/>
        </w:rPr>
      </w:pPr>
    </w:p>
    <w:p w14:paraId="01B53BD9" w14:textId="77777777" w:rsidR="00870BBB" w:rsidRPr="00C534FA" w:rsidRDefault="00870BBB" w:rsidP="00870BBB">
      <w:pPr>
        <w:pStyle w:val="NoSpacing"/>
        <w:rPr>
          <w:rFonts w:asciiTheme="minorHAnsi" w:hAnsiTheme="minorHAnsi" w:cstheme="minorHAnsi"/>
          <w:b/>
          <w:sz w:val="28"/>
          <w:szCs w:val="28"/>
          <w:u w:val="single"/>
        </w:rPr>
      </w:pPr>
      <w:r w:rsidRPr="00C534FA">
        <w:rPr>
          <w:rFonts w:asciiTheme="minorHAnsi" w:hAnsiTheme="minorHAnsi" w:cstheme="minorHAnsi"/>
          <w:noProof/>
          <w:u w:val="single"/>
        </w:rPr>
        <w:drawing>
          <wp:inline distT="0" distB="0" distL="0" distR="0" wp14:anchorId="267BEE2B" wp14:editId="7B6C9E9D">
            <wp:extent cx="1343025" cy="501939"/>
            <wp:effectExtent l="0" t="0" r="0" b="0"/>
            <wp:docPr id="1984640729" name="Picture 1" descr="A red diamo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40729" name="Picture 1" descr="A red diamond with black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2531" cy="512966"/>
                    </a:xfrm>
                    <a:prstGeom prst="rect">
                      <a:avLst/>
                    </a:prstGeom>
                    <a:noFill/>
                    <a:ln>
                      <a:noFill/>
                    </a:ln>
                  </pic:spPr>
                </pic:pic>
              </a:graphicData>
            </a:graphic>
          </wp:inline>
        </w:drawing>
      </w:r>
      <w:r w:rsidRPr="00C534FA">
        <w:rPr>
          <w:rFonts w:asciiTheme="minorHAnsi" w:hAnsiTheme="minorHAnsi" w:cstheme="minorHAnsi"/>
          <w:b/>
          <w:sz w:val="28"/>
          <w:szCs w:val="28"/>
          <w:u w:val="single"/>
        </w:rPr>
        <w:t xml:space="preserve">  Group of Eight Universities</w:t>
      </w:r>
    </w:p>
    <w:p w14:paraId="20C5945A" w14:textId="77777777" w:rsidR="00870BBB" w:rsidRPr="004171B2" w:rsidRDefault="00870BBB" w:rsidP="00870BBB">
      <w:pPr>
        <w:pStyle w:val="NoSpacing"/>
        <w:rPr>
          <w:rFonts w:asciiTheme="minorHAnsi" w:hAnsiTheme="minorHAnsi" w:cstheme="minorHAnsi"/>
          <w:sz w:val="24"/>
          <w:szCs w:val="24"/>
          <w:lang w:val="en-GB" w:eastAsia="zh-CN"/>
        </w:rPr>
      </w:pPr>
      <w:r w:rsidRPr="004171B2">
        <w:rPr>
          <w:rFonts w:asciiTheme="minorHAnsi" w:hAnsiTheme="minorHAnsi" w:cstheme="minorHAnsi"/>
          <w:i/>
          <w:sz w:val="24"/>
          <w:szCs w:val="24"/>
          <w:lang w:val="en-GB" w:eastAsia="zh-CN"/>
        </w:rPr>
        <w:t>The </w:t>
      </w:r>
      <w:r w:rsidRPr="004171B2">
        <w:rPr>
          <w:rFonts w:asciiTheme="minorHAnsi" w:hAnsiTheme="minorHAnsi" w:cstheme="minorHAnsi"/>
          <w:b/>
          <w:i/>
          <w:sz w:val="24"/>
          <w:szCs w:val="24"/>
          <w:lang w:val="en-GB" w:eastAsia="zh-CN"/>
        </w:rPr>
        <w:t>Group of Eight (Go8)</w:t>
      </w:r>
      <w:r w:rsidRPr="004171B2">
        <w:rPr>
          <w:rFonts w:asciiTheme="minorHAnsi" w:hAnsiTheme="minorHAnsi" w:cstheme="minorHAnsi"/>
          <w:i/>
          <w:sz w:val="24"/>
          <w:szCs w:val="24"/>
          <w:lang w:val="en-GB" w:eastAsia="zh-CN"/>
        </w:rPr>
        <w:t xml:space="preserve"> is an association of leading Australian universities - comprehensive in general and professional education and distinguished by depth and breadth in research.  </w:t>
      </w:r>
      <w:r w:rsidRPr="004171B2">
        <w:rPr>
          <w:rFonts w:asciiTheme="minorHAnsi" w:hAnsiTheme="minorHAnsi" w:cstheme="minorHAnsi"/>
          <w:sz w:val="24"/>
          <w:szCs w:val="24"/>
          <w:lang w:val="en-GB" w:eastAsia="zh-CN"/>
        </w:rPr>
        <w:t xml:space="preserve">The </w:t>
      </w:r>
      <w:r w:rsidRPr="004171B2">
        <w:rPr>
          <w:rFonts w:asciiTheme="minorHAnsi" w:hAnsiTheme="minorHAnsi" w:cstheme="minorHAnsi"/>
          <w:b/>
          <w:sz w:val="24"/>
          <w:szCs w:val="24"/>
          <w:lang w:val="en-GB" w:eastAsia="zh-CN"/>
        </w:rPr>
        <w:t>Go8</w:t>
      </w:r>
      <w:r w:rsidRPr="004171B2">
        <w:rPr>
          <w:rFonts w:asciiTheme="minorHAnsi" w:hAnsiTheme="minorHAnsi" w:cstheme="minorHAnsi"/>
          <w:sz w:val="24"/>
          <w:szCs w:val="24"/>
          <w:lang w:val="en-GB" w:eastAsia="zh-CN"/>
        </w:rPr>
        <w:t> universities continually aim to -</w:t>
      </w:r>
    </w:p>
    <w:p w14:paraId="56D91417" w14:textId="77777777" w:rsidR="00870BBB" w:rsidRPr="004171B2" w:rsidRDefault="00870BBB" w:rsidP="00870BBB">
      <w:pPr>
        <w:numPr>
          <w:ilvl w:val="0"/>
          <w:numId w:val="13"/>
        </w:numPr>
        <w:shd w:val="clear" w:color="auto" w:fill="FFFFFF"/>
        <w:spacing w:before="100" w:beforeAutospacing="1" w:after="75" w:line="234" w:lineRule="atLeast"/>
        <w:rPr>
          <w:rFonts w:asciiTheme="minorHAnsi" w:eastAsia="Times New Roman" w:hAnsiTheme="minorHAnsi" w:cstheme="minorHAnsi"/>
          <w:color w:val="000000"/>
          <w:lang w:val="en-US" w:eastAsia="zh-CN"/>
        </w:rPr>
      </w:pPr>
      <w:r w:rsidRPr="004171B2">
        <w:rPr>
          <w:rFonts w:asciiTheme="minorHAnsi" w:eastAsia="Times New Roman" w:hAnsiTheme="minorHAnsi" w:cstheme="minorHAnsi"/>
          <w:color w:val="000000"/>
          <w:lang w:val="en-US" w:eastAsia="zh-CN"/>
        </w:rPr>
        <w:t>enhance the contribution of its member universities to the nation’s social, economic, cultural and environmental well-being and prosperity,</w:t>
      </w:r>
    </w:p>
    <w:p w14:paraId="60E4AD91" w14:textId="77777777" w:rsidR="00870BBB" w:rsidRPr="004171B2" w:rsidRDefault="00870BBB" w:rsidP="00870BBB">
      <w:pPr>
        <w:numPr>
          <w:ilvl w:val="0"/>
          <w:numId w:val="13"/>
        </w:numPr>
        <w:shd w:val="clear" w:color="auto" w:fill="FFFFFF"/>
        <w:spacing w:before="100" w:beforeAutospacing="1" w:after="75" w:line="234" w:lineRule="atLeast"/>
        <w:rPr>
          <w:rFonts w:asciiTheme="minorHAnsi" w:eastAsia="Times New Roman" w:hAnsiTheme="minorHAnsi" w:cstheme="minorHAnsi"/>
          <w:color w:val="000000"/>
          <w:lang w:val="en-US" w:eastAsia="zh-CN"/>
        </w:rPr>
      </w:pPr>
      <w:r w:rsidRPr="004171B2">
        <w:rPr>
          <w:rFonts w:asciiTheme="minorHAnsi" w:eastAsia="Times New Roman" w:hAnsiTheme="minorHAnsi" w:cstheme="minorHAnsi"/>
          <w:color w:val="000000"/>
          <w:lang w:val="en-US" w:eastAsia="zh-CN"/>
        </w:rPr>
        <w:t>extend the contribution of its member universities to the generation and preservation of the world’s stock of knowledge,</w:t>
      </w:r>
    </w:p>
    <w:p w14:paraId="3FE36D24" w14:textId="77777777" w:rsidR="00870BBB" w:rsidRPr="004171B2" w:rsidRDefault="00870BBB" w:rsidP="00870BBB">
      <w:pPr>
        <w:numPr>
          <w:ilvl w:val="0"/>
          <w:numId w:val="13"/>
        </w:numPr>
        <w:shd w:val="clear" w:color="auto" w:fill="FFFFFF"/>
        <w:spacing w:before="100" w:beforeAutospacing="1" w:after="75" w:line="234" w:lineRule="atLeast"/>
        <w:rPr>
          <w:rFonts w:asciiTheme="minorHAnsi" w:eastAsia="Times New Roman" w:hAnsiTheme="minorHAnsi" w:cstheme="minorHAnsi"/>
          <w:color w:val="000000"/>
          <w:lang w:val="en-US" w:eastAsia="zh-CN"/>
        </w:rPr>
      </w:pPr>
      <w:r w:rsidRPr="004171B2">
        <w:rPr>
          <w:rFonts w:asciiTheme="minorHAnsi" w:eastAsia="Times New Roman" w:hAnsiTheme="minorHAnsi" w:cstheme="minorHAnsi"/>
          <w:color w:val="000000"/>
          <w:lang w:val="en-US" w:eastAsia="zh-CN"/>
        </w:rPr>
        <w:t>strengthen Australia’s capacity to engage in and benefit from global developments, respond to global and local challenges,</w:t>
      </w:r>
    </w:p>
    <w:p w14:paraId="12DED346" w14:textId="77777777" w:rsidR="00870BBB" w:rsidRPr="004171B2" w:rsidRDefault="00870BBB" w:rsidP="00870BBB">
      <w:pPr>
        <w:numPr>
          <w:ilvl w:val="0"/>
          <w:numId w:val="13"/>
        </w:numPr>
        <w:shd w:val="clear" w:color="auto" w:fill="FFFFFF"/>
        <w:spacing w:before="100" w:beforeAutospacing="1" w:after="75" w:line="234" w:lineRule="atLeast"/>
        <w:rPr>
          <w:rFonts w:asciiTheme="minorHAnsi" w:eastAsia="Times New Roman" w:hAnsiTheme="minorHAnsi" w:cstheme="minorHAnsi"/>
          <w:color w:val="000000"/>
          <w:lang w:val="en-US" w:eastAsia="zh-CN"/>
        </w:rPr>
      </w:pPr>
      <w:r w:rsidRPr="004171B2">
        <w:rPr>
          <w:rFonts w:asciiTheme="minorHAnsi" w:eastAsia="Times New Roman" w:hAnsiTheme="minorHAnsi" w:cstheme="minorHAnsi"/>
          <w:color w:val="000000"/>
          <w:lang w:val="en-US" w:eastAsia="zh-CN"/>
        </w:rPr>
        <w:t>expand opportunities for Australian students, regardless of background, to participate in higher education of world class.</w:t>
      </w:r>
    </w:p>
    <w:p w14:paraId="095BEC11" w14:textId="49EED766" w:rsidR="00870BBB" w:rsidRPr="004171B2" w:rsidRDefault="00870BBB" w:rsidP="00870BBB">
      <w:pPr>
        <w:pStyle w:val="NoSpacing"/>
        <w:rPr>
          <w:rFonts w:asciiTheme="minorHAnsi" w:hAnsiTheme="minorHAnsi" w:cstheme="minorHAnsi"/>
          <w:sz w:val="24"/>
          <w:szCs w:val="24"/>
        </w:rPr>
      </w:pPr>
      <w:r>
        <w:rPr>
          <w:rFonts w:asciiTheme="minorHAnsi" w:hAnsiTheme="minorHAnsi" w:cstheme="minorHAnsi"/>
          <w:b/>
          <w:sz w:val="24"/>
          <w:szCs w:val="24"/>
          <w:lang w:val="en-GB" w:eastAsia="zh-CN"/>
        </w:rPr>
        <w:br/>
      </w:r>
      <w:r w:rsidRPr="000D552D">
        <w:rPr>
          <w:rFonts w:asciiTheme="minorHAnsi" w:hAnsiTheme="minorHAnsi" w:cstheme="minorHAnsi"/>
          <w:b/>
          <w:sz w:val="24"/>
          <w:szCs w:val="24"/>
          <w:lang w:val="en-GB" w:eastAsia="zh-CN"/>
        </w:rPr>
        <w:t xml:space="preserve">To find out more about the </w:t>
      </w:r>
      <w:r w:rsidRPr="000D552D">
        <w:rPr>
          <w:rFonts w:asciiTheme="minorHAnsi" w:hAnsiTheme="minorHAnsi" w:cstheme="minorHAnsi"/>
          <w:b/>
          <w:i/>
          <w:sz w:val="24"/>
          <w:szCs w:val="24"/>
          <w:lang w:val="en-GB" w:eastAsia="zh-CN"/>
        </w:rPr>
        <w:t>Group of Eight Universities</w:t>
      </w:r>
      <w:r w:rsidRPr="000D552D">
        <w:rPr>
          <w:rFonts w:asciiTheme="minorHAnsi" w:hAnsiTheme="minorHAnsi" w:cstheme="minorHAnsi"/>
          <w:b/>
          <w:sz w:val="24"/>
          <w:szCs w:val="24"/>
          <w:lang w:val="en-GB" w:eastAsia="zh-CN"/>
        </w:rPr>
        <w:t xml:space="preserve">, visit </w:t>
      </w:r>
      <w:hyperlink r:id="rId10" w:history="1">
        <w:r w:rsidRPr="000D552D">
          <w:rPr>
            <w:rStyle w:val="Hyperlink"/>
            <w:rFonts w:asciiTheme="minorHAnsi" w:eastAsia="Times New Roman" w:hAnsiTheme="minorHAnsi" w:cstheme="minorHAnsi"/>
            <w:b/>
            <w:sz w:val="24"/>
            <w:szCs w:val="24"/>
            <w:lang w:val="en-GB" w:eastAsia="zh-CN"/>
          </w:rPr>
          <w:t>Group of Eight Universities</w:t>
        </w:r>
      </w:hyperlink>
      <w:r w:rsidRPr="000D552D">
        <w:rPr>
          <w:rStyle w:val="Hyperlink"/>
          <w:rFonts w:asciiTheme="minorHAnsi" w:eastAsia="Times New Roman" w:hAnsiTheme="minorHAnsi" w:cstheme="minorHAnsi"/>
          <w:b/>
          <w:sz w:val="24"/>
          <w:szCs w:val="24"/>
          <w:lang w:val="en-GB" w:eastAsia="zh-CN"/>
        </w:rPr>
        <w:t>.</w:t>
      </w:r>
    </w:p>
    <w:p w14:paraId="7D2A086A" w14:textId="77777777" w:rsidR="00CA6882" w:rsidRDefault="00CA6882">
      <w:pPr>
        <w:rPr>
          <w:rFonts w:asciiTheme="minorHAnsi" w:hAnsiTheme="minorHAnsi" w:cstheme="minorHAnsi"/>
          <w:b/>
        </w:rPr>
      </w:pPr>
    </w:p>
    <w:p w14:paraId="52F94886" w14:textId="77777777" w:rsidR="00870BBB" w:rsidRPr="000D552D" w:rsidRDefault="00870BBB">
      <w:pPr>
        <w:rPr>
          <w:rFonts w:asciiTheme="minorHAnsi" w:hAnsiTheme="minorHAnsi" w:cstheme="minorHAnsi"/>
          <w:b/>
          <w:sz w:val="34"/>
          <w:szCs w:val="34"/>
        </w:rPr>
      </w:pPr>
    </w:p>
    <w:p w14:paraId="5091B594" w14:textId="77777777" w:rsidR="00CA6882" w:rsidRPr="00CE4797" w:rsidRDefault="00CA6882" w:rsidP="00CA6882">
      <w:pPr>
        <w:pStyle w:val="NoSpacing"/>
        <w:rPr>
          <w:rFonts w:cs="Calibri"/>
          <w:b/>
          <w:sz w:val="28"/>
          <w:u w:val="single"/>
        </w:rPr>
      </w:pPr>
      <w:r w:rsidRPr="00CE4797">
        <w:rPr>
          <w:noProof/>
          <w:sz w:val="28"/>
          <w:u w:val="single"/>
          <w:lang w:eastAsia="zh-CN"/>
        </w:rPr>
        <w:drawing>
          <wp:inline distT="0" distB="0" distL="0" distR="0" wp14:anchorId="352AFB9E" wp14:editId="4C76FB73">
            <wp:extent cx="819150" cy="819150"/>
            <wp:effectExtent l="0" t="0" r="0" b="0"/>
            <wp:docPr id="8" name="Picture 8" descr="C:\Users\compass\AppData\Local\Microsoft\Windows\INetCache\Content.MSO\24B64A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ss\AppData\Local\Microsoft\Windows\INetCache\Content.MSO\24B64AFD.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0132" cy="830132"/>
                    </a:xfrm>
                    <a:prstGeom prst="rect">
                      <a:avLst/>
                    </a:prstGeom>
                    <a:noFill/>
                    <a:ln>
                      <a:noFill/>
                    </a:ln>
                  </pic:spPr>
                </pic:pic>
              </a:graphicData>
            </a:graphic>
          </wp:inline>
        </w:drawing>
      </w:r>
      <w:r w:rsidRPr="00CE4797">
        <w:rPr>
          <w:rFonts w:cs="Calibri"/>
          <w:b/>
          <w:sz w:val="34"/>
          <w:u w:val="single"/>
        </w:rPr>
        <w:t xml:space="preserve"> </w:t>
      </w:r>
      <w:r w:rsidRPr="00CE4797">
        <w:rPr>
          <w:rFonts w:cs="Calibri"/>
          <w:b/>
          <w:sz w:val="28"/>
          <w:u w:val="single"/>
        </w:rPr>
        <w:t>University Clinical Aptitude Test </w:t>
      </w:r>
    </w:p>
    <w:p w14:paraId="00EFDE57" w14:textId="6178E117" w:rsidR="00CA6882" w:rsidRPr="00F302F4" w:rsidRDefault="00CA6882" w:rsidP="00CA6882">
      <w:pPr>
        <w:rPr>
          <w:rFonts w:asciiTheme="minorHAnsi" w:hAnsiTheme="minorHAnsi" w:cstheme="minorHAnsi"/>
          <w:bCs/>
        </w:rPr>
      </w:pPr>
      <w:r w:rsidRPr="00F302F4">
        <w:rPr>
          <w:rFonts w:asciiTheme="minorHAnsi" w:hAnsiTheme="minorHAnsi" w:cstheme="minorHAnsi"/>
          <w:bCs/>
        </w:rPr>
        <w:t xml:space="preserve">The </w:t>
      </w:r>
      <w:r w:rsidRPr="00F302F4">
        <w:rPr>
          <w:rFonts w:asciiTheme="minorHAnsi" w:hAnsiTheme="minorHAnsi" w:cstheme="minorHAnsi"/>
          <w:b/>
          <w:i/>
          <w:iCs/>
        </w:rPr>
        <w:t>University Clinical Aptitude Test (UCAT)</w:t>
      </w:r>
      <w:r w:rsidRPr="00F302F4">
        <w:rPr>
          <w:rFonts w:asciiTheme="minorHAnsi" w:hAnsiTheme="minorHAnsi" w:cstheme="minorHAnsi"/>
          <w:bCs/>
        </w:rPr>
        <w:t xml:space="preserve"> is an admissions test used by the UCAT ANZ Consortium of universities in Australia and New Zealand for their </w:t>
      </w:r>
      <w:r w:rsidRPr="00F302F4">
        <w:rPr>
          <w:rFonts w:asciiTheme="minorHAnsi" w:hAnsiTheme="minorHAnsi" w:cstheme="minorHAnsi"/>
          <w:b/>
          <w:i/>
          <w:iCs/>
          <w:u w:val="single"/>
        </w:rPr>
        <w:t xml:space="preserve">medical, dental, and clinical science </w:t>
      </w:r>
      <w:r w:rsidRPr="00F302F4">
        <w:rPr>
          <w:rFonts w:asciiTheme="minorHAnsi" w:hAnsiTheme="minorHAnsi" w:cstheme="minorHAnsi"/>
          <w:bCs/>
        </w:rPr>
        <w:t xml:space="preserve">degree programs.  Universities requiring the UCAT are listed at this link - </w:t>
      </w:r>
      <w:hyperlink r:id="rId12" w:history="1">
        <w:r w:rsidRPr="00F302F4">
          <w:rPr>
            <w:rStyle w:val="Hyperlink"/>
            <w:rFonts w:asciiTheme="minorHAnsi" w:hAnsiTheme="minorHAnsi" w:cstheme="minorHAnsi"/>
            <w:bCs/>
          </w:rPr>
          <w:t>Universities requiring the UCAT</w:t>
        </w:r>
      </w:hyperlink>
      <w:r w:rsidRPr="00F302F4">
        <w:rPr>
          <w:rFonts w:asciiTheme="minorHAnsi" w:hAnsiTheme="minorHAnsi" w:cstheme="minorHAnsi"/>
          <w:bCs/>
        </w:rPr>
        <w:t xml:space="preserve"> but also listed below.  </w:t>
      </w:r>
      <w:r w:rsidRPr="00F302F4">
        <w:rPr>
          <w:rFonts w:asciiTheme="minorHAnsi" w:hAnsiTheme="minorHAnsi" w:cstheme="minorHAnsi"/>
          <w:bCs/>
        </w:rPr>
        <w:br/>
      </w:r>
      <w:r w:rsidRPr="00F302F4">
        <w:rPr>
          <w:rFonts w:asciiTheme="minorHAnsi" w:hAnsiTheme="minorHAnsi" w:cstheme="minorHAnsi"/>
          <w:bCs/>
        </w:rPr>
        <w:br/>
        <w:t xml:space="preserve">Students intending to apply for courses requiring the UCAT at any of these universities are reminded that they will need to </w:t>
      </w:r>
      <w:r w:rsidRPr="00F302F4">
        <w:rPr>
          <w:rFonts w:asciiTheme="minorHAnsi" w:hAnsiTheme="minorHAnsi" w:cstheme="minorHAnsi"/>
          <w:b/>
        </w:rPr>
        <w:t>book a test</w:t>
      </w:r>
      <w:r w:rsidRPr="00F302F4">
        <w:rPr>
          <w:rFonts w:asciiTheme="minorHAnsi" w:hAnsiTheme="minorHAnsi" w:cstheme="minorHAnsi"/>
          <w:bCs/>
        </w:rPr>
        <w:t xml:space="preserve">.  </w:t>
      </w:r>
      <w:r w:rsidRPr="00F302F4">
        <w:rPr>
          <w:rFonts w:asciiTheme="minorHAnsi" w:hAnsiTheme="minorHAnsi" w:cstheme="minorHAnsi"/>
          <w:bCs/>
        </w:rPr>
        <w:br/>
      </w:r>
    </w:p>
    <w:p w14:paraId="07C924EF" w14:textId="77777777" w:rsidR="00CA6882" w:rsidRPr="00F302F4" w:rsidRDefault="00CA6882" w:rsidP="00CA6882">
      <w:pPr>
        <w:rPr>
          <w:rFonts w:asciiTheme="minorHAnsi" w:hAnsiTheme="minorHAnsi" w:cstheme="minorHAnsi"/>
          <w:bCs/>
          <w:highlight w:val="yellow"/>
        </w:rPr>
      </w:pPr>
    </w:p>
    <w:p w14:paraId="4A9AA75C" w14:textId="77777777" w:rsidR="00CA6882" w:rsidRPr="00F302F4" w:rsidRDefault="00CA6882" w:rsidP="00CA6882">
      <w:pPr>
        <w:rPr>
          <w:rFonts w:asciiTheme="minorHAnsi" w:hAnsiTheme="minorHAnsi" w:cstheme="minorHAnsi"/>
        </w:rPr>
      </w:pPr>
      <w:r w:rsidRPr="00F302F4">
        <w:rPr>
          <w:rFonts w:asciiTheme="minorHAnsi" w:hAnsiTheme="minorHAnsi" w:cstheme="minorHAnsi"/>
        </w:rPr>
        <w:lastRenderedPageBreak/>
        <w:t xml:space="preserve">Students who are preparing for entry into any of these courses are encouraged to familiarise themselves with the </w:t>
      </w:r>
      <w:r w:rsidRPr="00F302F4">
        <w:rPr>
          <w:rFonts w:asciiTheme="minorHAnsi" w:hAnsiTheme="minorHAnsi" w:cstheme="minorHAnsi"/>
          <w:b/>
        </w:rPr>
        <w:t>format of the test at</w:t>
      </w:r>
      <w:r w:rsidRPr="00F302F4">
        <w:t xml:space="preserve"> </w:t>
      </w:r>
      <w:hyperlink r:id="rId13" w:history="1">
        <w:r w:rsidRPr="00F302F4">
          <w:rPr>
            <w:rStyle w:val="Hyperlink"/>
            <w:rFonts w:asciiTheme="minorHAnsi" w:hAnsiTheme="minorHAnsi" w:cstheme="minorHAnsi"/>
            <w:b/>
          </w:rPr>
          <w:t>UCAT Test Format</w:t>
        </w:r>
      </w:hyperlink>
      <w:r w:rsidRPr="00F302F4">
        <w:rPr>
          <w:rFonts w:asciiTheme="minorHAnsi" w:hAnsiTheme="minorHAnsi" w:cstheme="minorHAnsi"/>
          <w:b/>
        </w:rPr>
        <w:t xml:space="preserve">  </w:t>
      </w:r>
      <w:r w:rsidRPr="00F302F4">
        <w:rPr>
          <w:rFonts w:asciiTheme="minorHAnsi" w:hAnsiTheme="minorHAnsi" w:cstheme="minorHAnsi"/>
        </w:rPr>
        <w:t xml:space="preserve">and the </w:t>
      </w:r>
      <w:r w:rsidRPr="00F302F4">
        <w:rPr>
          <w:rFonts w:asciiTheme="minorHAnsi" w:hAnsiTheme="minorHAnsi" w:cstheme="minorHAnsi"/>
          <w:b/>
        </w:rPr>
        <w:t>practice tests and preparation material</w:t>
      </w:r>
      <w:r w:rsidRPr="00F302F4">
        <w:rPr>
          <w:rFonts w:asciiTheme="minorHAnsi" w:hAnsiTheme="minorHAnsi" w:cstheme="minorHAnsi"/>
        </w:rPr>
        <w:t xml:space="preserve"> provided at</w:t>
      </w:r>
      <w:hyperlink r:id="rId14" w:history="1">
        <w:r w:rsidRPr="00F302F4">
          <w:rPr>
            <w:rStyle w:val="Hyperlink"/>
            <w:rFonts w:asciiTheme="minorHAnsi" w:hAnsiTheme="minorHAnsi" w:cstheme="minorHAnsi"/>
            <w:b/>
            <w:bCs/>
          </w:rPr>
          <w:t xml:space="preserve"> UCAT Preparation</w:t>
        </w:r>
      </w:hyperlink>
      <w:r w:rsidRPr="00F302F4">
        <w:rPr>
          <w:rStyle w:val="Hyperlink"/>
          <w:rFonts w:asciiTheme="minorHAnsi" w:hAnsiTheme="minorHAnsi" w:cstheme="minorHAnsi"/>
          <w:b/>
          <w:bCs/>
          <w:color w:val="auto"/>
          <w:u w:val="none"/>
        </w:rPr>
        <w:t xml:space="preserve"> </w:t>
      </w:r>
      <w:r w:rsidRPr="00F302F4">
        <w:rPr>
          <w:rStyle w:val="Hyperlink"/>
          <w:rFonts w:asciiTheme="minorHAnsi" w:hAnsiTheme="minorHAnsi" w:cstheme="minorHAnsi"/>
          <w:color w:val="auto"/>
          <w:u w:val="none"/>
        </w:rPr>
        <w:t>when available.</w:t>
      </w:r>
    </w:p>
    <w:p w14:paraId="2A1359A7" w14:textId="77777777" w:rsidR="00CA6882" w:rsidRPr="00F302F4" w:rsidRDefault="00CA6882" w:rsidP="00CA6882">
      <w:pPr>
        <w:rPr>
          <w:rFonts w:asciiTheme="minorHAnsi" w:hAnsiTheme="minorHAnsi" w:cstheme="minorHAnsi"/>
        </w:rPr>
      </w:pPr>
    </w:p>
    <w:p w14:paraId="7E02BAEB" w14:textId="77777777" w:rsidR="000D552D" w:rsidRPr="00F302F4" w:rsidRDefault="00CA6882" w:rsidP="000D552D">
      <w:pPr>
        <w:pStyle w:val="NoSpacing"/>
        <w:rPr>
          <w:rStyle w:val="Hyperlink"/>
          <w:b/>
          <w:bCs/>
          <w:sz w:val="24"/>
          <w:szCs w:val="24"/>
        </w:rPr>
      </w:pPr>
      <w:r w:rsidRPr="00F302F4">
        <w:rPr>
          <w:rFonts w:asciiTheme="minorHAnsi" w:hAnsiTheme="minorHAnsi" w:cstheme="minorHAnsi"/>
          <w:bCs/>
          <w:sz w:val="24"/>
          <w:szCs w:val="24"/>
        </w:rPr>
        <w:t xml:space="preserve">Bookings will open on </w:t>
      </w:r>
      <w:r w:rsidR="00A26995" w:rsidRPr="00F302F4">
        <w:rPr>
          <w:rFonts w:asciiTheme="minorHAnsi" w:hAnsiTheme="minorHAnsi" w:cstheme="minorHAnsi"/>
          <w:b/>
          <w:bCs/>
          <w:sz w:val="24"/>
          <w:szCs w:val="24"/>
        </w:rPr>
        <w:t>3</w:t>
      </w:r>
      <w:r w:rsidRPr="00F302F4">
        <w:rPr>
          <w:rFonts w:asciiTheme="minorHAnsi" w:hAnsiTheme="minorHAnsi" w:cstheme="minorHAnsi"/>
          <w:b/>
          <w:bCs/>
          <w:sz w:val="24"/>
          <w:szCs w:val="24"/>
        </w:rPr>
        <w:t xml:space="preserve"> March 202</w:t>
      </w:r>
      <w:r w:rsidR="00A26995" w:rsidRPr="00F302F4">
        <w:rPr>
          <w:rFonts w:asciiTheme="minorHAnsi" w:hAnsiTheme="minorHAnsi" w:cstheme="minorHAnsi"/>
          <w:b/>
          <w:bCs/>
          <w:sz w:val="24"/>
          <w:szCs w:val="24"/>
        </w:rPr>
        <w:t>6</w:t>
      </w:r>
      <w:r w:rsidRPr="00F302F4">
        <w:rPr>
          <w:rFonts w:asciiTheme="minorHAnsi" w:hAnsiTheme="minorHAnsi" w:cstheme="minorHAnsi"/>
          <w:b/>
          <w:bCs/>
          <w:sz w:val="24"/>
          <w:szCs w:val="24"/>
        </w:rPr>
        <w:t xml:space="preserve"> </w:t>
      </w:r>
      <w:r w:rsidRPr="00F302F4">
        <w:rPr>
          <w:rFonts w:asciiTheme="minorHAnsi" w:hAnsiTheme="minorHAnsi" w:cstheme="minorHAnsi"/>
          <w:sz w:val="24"/>
          <w:szCs w:val="24"/>
        </w:rPr>
        <w:t xml:space="preserve">and close </w:t>
      </w:r>
      <w:r w:rsidRPr="00F302F4">
        <w:rPr>
          <w:rFonts w:asciiTheme="minorHAnsi" w:hAnsiTheme="minorHAnsi" w:cstheme="minorHAnsi"/>
          <w:b/>
          <w:bCs/>
          <w:sz w:val="24"/>
          <w:szCs w:val="24"/>
        </w:rPr>
        <w:t>1</w:t>
      </w:r>
      <w:r w:rsidR="00A26995" w:rsidRPr="00F302F4">
        <w:rPr>
          <w:rFonts w:asciiTheme="minorHAnsi" w:hAnsiTheme="minorHAnsi" w:cstheme="minorHAnsi"/>
          <w:b/>
          <w:bCs/>
          <w:sz w:val="24"/>
          <w:szCs w:val="24"/>
        </w:rPr>
        <w:t>5</w:t>
      </w:r>
      <w:r w:rsidRPr="00F302F4">
        <w:rPr>
          <w:rFonts w:asciiTheme="minorHAnsi" w:hAnsiTheme="minorHAnsi" w:cstheme="minorHAnsi"/>
          <w:b/>
          <w:bCs/>
          <w:sz w:val="24"/>
          <w:szCs w:val="24"/>
        </w:rPr>
        <w:t xml:space="preserve"> May 202</w:t>
      </w:r>
      <w:r w:rsidR="00A26995" w:rsidRPr="00F302F4">
        <w:rPr>
          <w:rFonts w:asciiTheme="minorHAnsi" w:hAnsiTheme="minorHAnsi" w:cstheme="minorHAnsi"/>
          <w:b/>
          <w:bCs/>
          <w:sz w:val="24"/>
          <w:szCs w:val="24"/>
        </w:rPr>
        <w:t>6</w:t>
      </w:r>
      <w:r w:rsidRPr="00F302F4">
        <w:rPr>
          <w:rFonts w:asciiTheme="minorHAnsi" w:hAnsiTheme="minorHAnsi" w:cstheme="minorHAnsi"/>
          <w:b/>
          <w:bCs/>
          <w:sz w:val="24"/>
          <w:szCs w:val="24"/>
        </w:rPr>
        <w:t>.  The testing dates will be from 1 July 202</w:t>
      </w:r>
      <w:r w:rsidR="00A26995" w:rsidRPr="00F302F4">
        <w:rPr>
          <w:rFonts w:asciiTheme="minorHAnsi" w:hAnsiTheme="minorHAnsi" w:cstheme="minorHAnsi"/>
          <w:b/>
          <w:bCs/>
          <w:sz w:val="24"/>
          <w:szCs w:val="24"/>
        </w:rPr>
        <w:t>6</w:t>
      </w:r>
      <w:r w:rsidRPr="00F302F4">
        <w:rPr>
          <w:rFonts w:asciiTheme="minorHAnsi" w:hAnsiTheme="minorHAnsi" w:cstheme="minorHAnsi"/>
          <w:b/>
          <w:bCs/>
          <w:sz w:val="24"/>
          <w:szCs w:val="24"/>
        </w:rPr>
        <w:t xml:space="preserve"> to 5 August 202</w:t>
      </w:r>
      <w:r w:rsidR="00A26995" w:rsidRPr="00F302F4">
        <w:rPr>
          <w:rFonts w:asciiTheme="minorHAnsi" w:hAnsiTheme="minorHAnsi" w:cstheme="minorHAnsi"/>
          <w:b/>
          <w:bCs/>
          <w:sz w:val="24"/>
          <w:szCs w:val="24"/>
        </w:rPr>
        <w:t>6</w:t>
      </w:r>
      <w:r w:rsidRPr="00F302F4">
        <w:rPr>
          <w:rFonts w:asciiTheme="minorHAnsi" w:hAnsiTheme="minorHAnsi" w:cstheme="minorHAnsi"/>
          <w:b/>
          <w:bCs/>
          <w:sz w:val="24"/>
          <w:szCs w:val="24"/>
        </w:rPr>
        <w:t>.</w:t>
      </w:r>
      <w:r w:rsidR="000D552D" w:rsidRPr="00F302F4">
        <w:rPr>
          <w:rFonts w:asciiTheme="minorHAnsi" w:hAnsiTheme="minorHAnsi" w:cstheme="minorHAnsi"/>
          <w:b/>
          <w:bCs/>
          <w:sz w:val="24"/>
          <w:szCs w:val="24"/>
        </w:rPr>
        <w:br/>
      </w:r>
      <w:r w:rsidR="000D552D" w:rsidRPr="00F302F4">
        <w:rPr>
          <w:rFonts w:asciiTheme="minorHAnsi" w:hAnsiTheme="minorHAnsi" w:cstheme="minorHAnsi"/>
          <w:b/>
          <w:bCs/>
          <w:sz w:val="24"/>
          <w:szCs w:val="24"/>
        </w:rPr>
        <w:br/>
      </w:r>
      <w:r w:rsidR="000D552D" w:rsidRPr="00F302F4">
        <w:rPr>
          <w:rFonts w:cs="Calibri"/>
          <w:b/>
          <w:bCs/>
          <w:sz w:val="24"/>
          <w:szCs w:val="24"/>
        </w:rPr>
        <w:t xml:space="preserve">Find out more at </w:t>
      </w:r>
      <w:hyperlink r:id="rId15" w:history="1">
        <w:r w:rsidR="000D552D" w:rsidRPr="00F302F4">
          <w:rPr>
            <w:rStyle w:val="Hyperlink"/>
            <w:b/>
            <w:bCs/>
            <w:sz w:val="24"/>
            <w:szCs w:val="24"/>
          </w:rPr>
          <w:t>UCAT</w:t>
        </w:r>
      </w:hyperlink>
      <w:r w:rsidR="000D552D" w:rsidRPr="00F302F4">
        <w:rPr>
          <w:rStyle w:val="Hyperlink"/>
          <w:b/>
          <w:bCs/>
          <w:color w:val="auto"/>
          <w:sz w:val="24"/>
          <w:szCs w:val="24"/>
          <w:u w:val="none"/>
        </w:rPr>
        <w:t>.</w:t>
      </w:r>
    </w:p>
    <w:p w14:paraId="4C9055DC" w14:textId="77777777" w:rsidR="00CA6882" w:rsidRPr="00F302F4" w:rsidRDefault="00CA6882" w:rsidP="00CA6882">
      <w:pPr>
        <w:pStyle w:val="NoSpacing"/>
        <w:rPr>
          <w:rFonts w:cs="Calibri"/>
          <w:sz w:val="24"/>
          <w:szCs w:val="24"/>
          <w:highlight w:val="yellow"/>
        </w:rPr>
      </w:pPr>
      <w:r w:rsidRPr="00F302F4">
        <w:rPr>
          <w:rFonts w:cs="Calibri"/>
          <w:b/>
          <w:bCs/>
          <w:sz w:val="24"/>
          <w:szCs w:val="24"/>
          <w:highlight w:val="yellow"/>
        </w:rPr>
        <w:br/>
      </w:r>
      <w:r w:rsidRPr="00F302F4">
        <w:rPr>
          <w:rFonts w:cs="Calibri"/>
          <w:sz w:val="24"/>
          <w:szCs w:val="24"/>
          <w:u w:val="single"/>
        </w:rPr>
        <w:t>Institutions that will require the UCAT are</w:t>
      </w:r>
      <w:r w:rsidRPr="00F302F4">
        <w:rPr>
          <w:rFonts w:cs="Calibri"/>
          <w:sz w:val="24"/>
          <w:szCs w:val="24"/>
        </w:rPr>
        <w:t>:</w:t>
      </w:r>
      <w:r w:rsidRPr="00F302F4">
        <w:rPr>
          <w:rFonts w:cs="Calibri"/>
          <w:sz w:val="24"/>
          <w:szCs w:val="24"/>
          <w:highlight w:val="yellow"/>
        </w:rPr>
        <w:br/>
      </w:r>
    </w:p>
    <w:tbl>
      <w:tblPr>
        <w:tblStyle w:val="TableGrid"/>
        <w:tblW w:w="10349" w:type="dxa"/>
        <w:jc w:val="center"/>
        <w:tblLook w:val="04A0" w:firstRow="1" w:lastRow="0" w:firstColumn="1" w:lastColumn="0" w:noHBand="0" w:noVBand="1"/>
      </w:tblPr>
      <w:tblGrid>
        <w:gridCol w:w="4962"/>
        <w:gridCol w:w="5387"/>
      </w:tblGrid>
      <w:tr w:rsidR="00CA6882" w:rsidRPr="00CA6882" w14:paraId="2FF656D0" w14:textId="77777777" w:rsidTr="0098467A">
        <w:trPr>
          <w:jc w:val="center"/>
        </w:trPr>
        <w:tc>
          <w:tcPr>
            <w:tcW w:w="4962" w:type="dxa"/>
          </w:tcPr>
          <w:p w14:paraId="583AB9BA" w14:textId="126DCA66" w:rsidR="00CA6882" w:rsidRPr="00CE4797" w:rsidRDefault="00CE4797" w:rsidP="0098467A">
            <w:pPr>
              <w:pStyle w:val="NoSpacing"/>
              <w:rPr>
                <w:rFonts w:cs="Calibri"/>
                <w:u w:val="single"/>
              </w:rPr>
            </w:pPr>
            <w:hyperlink r:id="rId16" w:history="1">
              <w:r w:rsidRPr="00CE4797">
                <w:rPr>
                  <w:rStyle w:val="Hyperlink"/>
                </w:rPr>
                <w:t>Adelaide University</w:t>
              </w:r>
            </w:hyperlink>
            <w:r w:rsidRPr="00CE4797">
              <w:t xml:space="preserve"> </w:t>
            </w:r>
          </w:p>
        </w:tc>
        <w:tc>
          <w:tcPr>
            <w:tcW w:w="5387" w:type="dxa"/>
          </w:tcPr>
          <w:p w14:paraId="5FF4087C" w14:textId="77777777" w:rsidR="00CA6882" w:rsidRPr="00CE4797" w:rsidRDefault="00CA6882" w:rsidP="0098467A">
            <w:pPr>
              <w:pStyle w:val="NoSpacing"/>
              <w:rPr>
                <w:rFonts w:cs="Calibri"/>
                <w:sz w:val="18"/>
                <w:szCs w:val="18"/>
              </w:rPr>
            </w:pPr>
            <w:r w:rsidRPr="00CE4797">
              <w:rPr>
                <w:rFonts w:cs="Calibri"/>
                <w:sz w:val="18"/>
                <w:szCs w:val="18"/>
              </w:rPr>
              <w:t>Medicine, Dental Surgery, Oral Health</w:t>
            </w:r>
          </w:p>
        </w:tc>
      </w:tr>
      <w:tr w:rsidR="00CA6882" w:rsidRPr="00CA6882" w14:paraId="77AAF5D4" w14:textId="77777777" w:rsidTr="0098467A">
        <w:trPr>
          <w:jc w:val="center"/>
        </w:trPr>
        <w:tc>
          <w:tcPr>
            <w:tcW w:w="4962" w:type="dxa"/>
          </w:tcPr>
          <w:p w14:paraId="186D3445" w14:textId="77777777" w:rsidR="00CA6882" w:rsidRPr="00CE4797" w:rsidRDefault="00CA6882" w:rsidP="0098467A">
            <w:pPr>
              <w:pStyle w:val="NoSpacing"/>
              <w:rPr>
                <w:rFonts w:cs="Calibri"/>
              </w:rPr>
            </w:pPr>
            <w:hyperlink r:id="rId17" w:history="1">
              <w:r w:rsidRPr="00CE4797">
                <w:rPr>
                  <w:rStyle w:val="Hyperlink"/>
                  <w:rFonts w:cs="Calibri"/>
                </w:rPr>
                <w:t>Central Queensland University</w:t>
              </w:r>
            </w:hyperlink>
            <w:r w:rsidRPr="00CE4797">
              <w:rPr>
                <w:rFonts w:cs="Calibri"/>
              </w:rPr>
              <w:t xml:space="preserve"> </w:t>
            </w:r>
          </w:p>
        </w:tc>
        <w:tc>
          <w:tcPr>
            <w:tcW w:w="5387" w:type="dxa"/>
          </w:tcPr>
          <w:p w14:paraId="307AF237" w14:textId="77777777" w:rsidR="00CA6882" w:rsidRPr="00CE4797" w:rsidRDefault="00CA6882" w:rsidP="0098467A">
            <w:pPr>
              <w:pStyle w:val="NoSpacing"/>
              <w:rPr>
                <w:rFonts w:cs="Calibri"/>
                <w:sz w:val="18"/>
                <w:szCs w:val="18"/>
              </w:rPr>
            </w:pPr>
            <w:r w:rsidRPr="00CE4797">
              <w:rPr>
                <w:rFonts w:cs="Calibri"/>
                <w:sz w:val="18"/>
                <w:szCs w:val="18"/>
              </w:rPr>
              <w:t>Medical Science (Regional Medical Pathway provisional entry to UQ)</w:t>
            </w:r>
          </w:p>
        </w:tc>
      </w:tr>
      <w:tr w:rsidR="00CA6882" w:rsidRPr="00CA6882" w14:paraId="0E59F414" w14:textId="77777777" w:rsidTr="0098467A">
        <w:trPr>
          <w:jc w:val="center"/>
        </w:trPr>
        <w:tc>
          <w:tcPr>
            <w:tcW w:w="4962" w:type="dxa"/>
          </w:tcPr>
          <w:p w14:paraId="74A5BBA6" w14:textId="77777777" w:rsidR="00CA6882" w:rsidRPr="00CE4797" w:rsidRDefault="00CA6882" w:rsidP="0098467A">
            <w:pPr>
              <w:pStyle w:val="NoSpacing"/>
              <w:rPr>
                <w:rFonts w:cs="Calibri"/>
                <w:u w:val="single"/>
              </w:rPr>
            </w:pPr>
            <w:hyperlink r:id="rId18" w:history="1">
              <w:r w:rsidRPr="00CE4797">
                <w:rPr>
                  <w:rStyle w:val="Hyperlink"/>
                  <w:rFonts w:cs="Calibri"/>
                </w:rPr>
                <w:t xml:space="preserve">Charles Sturt University </w:t>
              </w:r>
            </w:hyperlink>
          </w:p>
        </w:tc>
        <w:tc>
          <w:tcPr>
            <w:tcW w:w="5387" w:type="dxa"/>
          </w:tcPr>
          <w:p w14:paraId="151CD667" w14:textId="77777777" w:rsidR="00CA6882" w:rsidRPr="00CE4797" w:rsidRDefault="00CA6882" w:rsidP="0098467A">
            <w:pPr>
              <w:pStyle w:val="NoSpacing"/>
              <w:rPr>
                <w:rFonts w:cs="Calibri"/>
                <w:sz w:val="18"/>
                <w:szCs w:val="18"/>
              </w:rPr>
            </w:pPr>
            <w:r w:rsidRPr="00CE4797">
              <w:rPr>
                <w:rFonts w:cs="Calibri"/>
                <w:sz w:val="18"/>
                <w:szCs w:val="18"/>
              </w:rPr>
              <w:t>Dental Science, Medicine (Joint Program in Medicine)</w:t>
            </w:r>
          </w:p>
        </w:tc>
      </w:tr>
      <w:tr w:rsidR="00CA6882" w:rsidRPr="00CA6882" w14:paraId="3AB0BBFB" w14:textId="77777777" w:rsidTr="0098467A">
        <w:trPr>
          <w:jc w:val="center"/>
        </w:trPr>
        <w:tc>
          <w:tcPr>
            <w:tcW w:w="4962" w:type="dxa"/>
          </w:tcPr>
          <w:p w14:paraId="2BF561C2" w14:textId="77777777" w:rsidR="00CA6882" w:rsidRPr="00CE4797" w:rsidRDefault="00CA6882" w:rsidP="0098467A">
            <w:pPr>
              <w:pStyle w:val="NoSpacing"/>
              <w:rPr>
                <w:rFonts w:cs="Calibri"/>
                <w:u w:val="single"/>
              </w:rPr>
            </w:pPr>
            <w:hyperlink r:id="rId19" w:tgtFrame="_blank" w:history="1">
              <w:r w:rsidRPr="00CE4797">
                <w:rPr>
                  <w:rStyle w:val="Hyperlink"/>
                  <w:rFonts w:cs="Calibri"/>
                </w:rPr>
                <w:t>Curtin University</w:t>
              </w:r>
            </w:hyperlink>
          </w:p>
        </w:tc>
        <w:tc>
          <w:tcPr>
            <w:tcW w:w="5387" w:type="dxa"/>
          </w:tcPr>
          <w:p w14:paraId="7FB415AE" w14:textId="77777777" w:rsidR="00CA6882" w:rsidRPr="00CE4797" w:rsidRDefault="00CA6882" w:rsidP="0098467A">
            <w:pPr>
              <w:pStyle w:val="NoSpacing"/>
              <w:rPr>
                <w:rFonts w:cs="Calibri"/>
                <w:sz w:val="18"/>
                <w:szCs w:val="18"/>
              </w:rPr>
            </w:pPr>
            <w:r w:rsidRPr="00CE4797">
              <w:rPr>
                <w:rFonts w:cs="Calibri"/>
                <w:sz w:val="18"/>
                <w:szCs w:val="18"/>
              </w:rPr>
              <w:t>Medicine</w:t>
            </w:r>
          </w:p>
        </w:tc>
      </w:tr>
      <w:tr w:rsidR="00CA6882" w:rsidRPr="00CA6882" w14:paraId="010D3627" w14:textId="77777777" w:rsidTr="0098467A">
        <w:trPr>
          <w:jc w:val="center"/>
        </w:trPr>
        <w:tc>
          <w:tcPr>
            <w:tcW w:w="4962" w:type="dxa"/>
          </w:tcPr>
          <w:p w14:paraId="29286B1F" w14:textId="77777777" w:rsidR="00CA6882" w:rsidRPr="00CE4797" w:rsidRDefault="00CA6882" w:rsidP="0098467A">
            <w:pPr>
              <w:pStyle w:val="NoSpacing"/>
              <w:rPr>
                <w:rFonts w:cs="Calibri"/>
                <w:u w:val="single"/>
              </w:rPr>
            </w:pPr>
            <w:hyperlink r:id="rId20" w:history="1">
              <w:r w:rsidRPr="00CE4797">
                <w:rPr>
                  <w:rStyle w:val="Hyperlink"/>
                  <w:rFonts w:cs="Calibri"/>
                </w:rPr>
                <w:t>Flinders University</w:t>
              </w:r>
            </w:hyperlink>
            <w:r w:rsidRPr="00CE4797">
              <w:rPr>
                <w:rFonts w:cs="Calibri"/>
                <w:u w:val="single"/>
              </w:rPr>
              <w:t xml:space="preserve"> </w:t>
            </w:r>
          </w:p>
        </w:tc>
        <w:tc>
          <w:tcPr>
            <w:tcW w:w="5387" w:type="dxa"/>
          </w:tcPr>
          <w:p w14:paraId="0EA23D10" w14:textId="77777777" w:rsidR="00CA6882" w:rsidRPr="00CE4797" w:rsidRDefault="00CA6882" w:rsidP="0098467A">
            <w:pPr>
              <w:pStyle w:val="NoSpacing"/>
              <w:rPr>
                <w:rFonts w:cs="Calibri"/>
                <w:sz w:val="18"/>
                <w:szCs w:val="18"/>
              </w:rPr>
            </w:pPr>
            <w:r w:rsidRPr="00CE4797">
              <w:rPr>
                <w:rFonts w:cs="Calibri"/>
                <w:sz w:val="18"/>
                <w:szCs w:val="18"/>
              </w:rPr>
              <w:t>Clinical Sciences / Medicine</w:t>
            </w:r>
          </w:p>
        </w:tc>
      </w:tr>
      <w:tr w:rsidR="00CA6882" w:rsidRPr="00CA6882" w14:paraId="3BECA1D0" w14:textId="77777777" w:rsidTr="0098467A">
        <w:trPr>
          <w:jc w:val="center"/>
        </w:trPr>
        <w:tc>
          <w:tcPr>
            <w:tcW w:w="4962" w:type="dxa"/>
          </w:tcPr>
          <w:p w14:paraId="72E33781" w14:textId="77777777" w:rsidR="00CA6882" w:rsidRPr="00CE4797" w:rsidRDefault="00CA6882" w:rsidP="0098467A">
            <w:pPr>
              <w:pStyle w:val="NoSpacing"/>
              <w:rPr>
                <w:rFonts w:cs="Calibri"/>
                <w:u w:val="single"/>
              </w:rPr>
            </w:pPr>
            <w:hyperlink r:id="rId21" w:history="1">
              <w:r w:rsidRPr="00CE4797">
                <w:rPr>
                  <w:rStyle w:val="Hyperlink"/>
                  <w:rFonts w:cs="Calibri"/>
                </w:rPr>
                <w:t xml:space="preserve">Griffith University </w:t>
              </w:r>
            </w:hyperlink>
            <w:r w:rsidRPr="00CE4797">
              <w:rPr>
                <w:rFonts w:cs="Calibri"/>
                <w:u w:val="single"/>
              </w:rPr>
              <w:t xml:space="preserve"> </w:t>
            </w:r>
          </w:p>
        </w:tc>
        <w:tc>
          <w:tcPr>
            <w:tcW w:w="5387" w:type="dxa"/>
          </w:tcPr>
          <w:p w14:paraId="11D538B1" w14:textId="77777777" w:rsidR="00CA6882" w:rsidRPr="00CE4797" w:rsidRDefault="00CA6882" w:rsidP="0098467A">
            <w:pPr>
              <w:pStyle w:val="NoSpacing"/>
              <w:rPr>
                <w:rFonts w:cs="Calibri"/>
                <w:sz w:val="18"/>
                <w:szCs w:val="18"/>
              </w:rPr>
            </w:pPr>
            <w:r w:rsidRPr="00CE4797">
              <w:rPr>
                <w:rFonts w:cs="Calibri"/>
                <w:sz w:val="18"/>
                <w:szCs w:val="18"/>
              </w:rPr>
              <w:t>Dental Health Science (compulsory), Medical Science (optional)</w:t>
            </w:r>
          </w:p>
        </w:tc>
      </w:tr>
      <w:tr w:rsidR="00CA6882" w:rsidRPr="00CA6882" w14:paraId="107F97E2" w14:textId="77777777" w:rsidTr="0098467A">
        <w:trPr>
          <w:jc w:val="center"/>
        </w:trPr>
        <w:tc>
          <w:tcPr>
            <w:tcW w:w="4962" w:type="dxa"/>
          </w:tcPr>
          <w:p w14:paraId="0008754B" w14:textId="77777777" w:rsidR="00CA6882" w:rsidRPr="00CE4797" w:rsidRDefault="00CA6882" w:rsidP="0098467A">
            <w:pPr>
              <w:pStyle w:val="NoSpacing"/>
              <w:rPr>
                <w:rFonts w:cs="Calibri"/>
                <w:u w:val="single"/>
              </w:rPr>
            </w:pPr>
            <w:hyperlink r:id="rId22" w:tgtFrame="_blank" w:history="1">
              <w:r w:rsidRPr="00CE4797">
                <w:rPr>
                  <w:rStyle w:val="Hyperlink"/>
                  <w:rFonts w:cs="Calibri"/>
                </w:rPr>
                <w:t>Monash University</w:t>
              </w:r>
            </w:hyperlink>
          </w:p>
        </w:tc>
        <w:tc>
          <w:tcPr>
            <w:tcW w:w="5387" w:type="dxa"/>
          </w:tcPr>
          <w:p w14:paraId="5F8871B8" w14:textId="77777777" w:rsidR="00CA6882" w:rsidRPr="00CE4797" w:rsidRDefault="00CA6882" w:rsidP="0098467A">
            <w:pPr>
              <w:pStyle w:val="NoSpacing"/>
              <w:rPr>
                <w:rFonts w:cs="Calibri"/>
                <w:sz w:val="18"/>
                <w:szCs w:val="18"/>
              </w:rPr>
            </w:pPr>
            <w:r w:rsidRPr="00CE4797">
              <w:rPr>
                <w:rFonts w:cs="Calibri"/>
                <w:sz w:val="18"/>
                <w:szCs w:val="18"/>
              </w:rPr>
              <w:t>Medicine</w:t>
            </w:r>
          </w:p>
        </w:tc>
      </w:tr>
      <w:tr w:rsidR="00CA6882" w:rsidRPr="00CA6882" w14:paraId="5629DDD5" w14:textId="77777777" w:rsidTr="0098467A">
        <w:trPr>
          <w:jc w:val="center"/>
        </w:trPr>
        <w:tc>
          <w:tcPr>
            <w:tcW w:w="4962" w:type="dxa"/>
          </w:tcPr>
          <w:p w14:paraId="09F279C5" w14:textId="77777777" w:rsidR="00CA6882" w:rsidRPr="00CE4797" w:rsidRDefault="00CA6882" w:rsidP="0098467A">
            <w:pPr>
              <w:pStyle w:val="NoSpacing"/>
              <w:rPr>
                <w:rFonts w:cs="Calibri"/>
                <w:u w:val="single"/>
              </w:rPr>
            </w:pPr>
            <w:hyperlink r:id="rId23" w:tgtFrame="_blank" w:history="1">
              <w:r w:rsidRPr="00CE4797">
                <w:rPr>
                  <w:rStyle w:val="Hyperlink"/>
                  <w:rFonts w:cs="Calibri"/>
                </w:rPr>
                <w:t>University of Newcastle</w:t>
              </w:r>
            </w:hyperlink>
            <w:r w:rsidRPr="00CE4797">
              <w:rPr>
                <w:rFonts w:cs="Calibri"/>
                <w:u w:val="single"/>
              </w:rPr>
              <w:t> / </w:t>
            </w:r>
            <w:hyperlink r:id="rId24" w:tgtFrame="_blank" w:history="1">
              <w:r w:rsidRPr="00CE4797">
                <w:rPr>
                  <w:rStyle w:val="Hyperlink"/>
                  <w:rFonts w:cs="Calibri"/>
                </w:rPr>
                <w:t>University of New England</w:t>
              </w:r>
            </w:hyperlink>
          </w:p>
        </w:tc>
        <w:tc>
          <w:tcPr>
            <w:tcW w:w="5387" w:type="dxa"/>
          </w:tcPr>
          <w:p w14:paraId="363624AD" w14:textId="77777777" w:rsidR="00CA6882" w:rsidRPr="00CE4797" w:rsidRDefault="00CA6882" w:rsidP="0098467A">
            <w:pPr>
              <w:pStyle w:val="NoSpacing"/>
              <w:rPr>
                <w:rFonts w:cs="Calibri"/>
                <w:sz w:val="18"/>
                <w:szCs w:val="18"/>
              </w:rPr>
            </w:pPr>
            <w:r w:rsidRPr="00CE4797">
              <w:rPr>
                <w:rFonts w:cs="Calibri"/>
                <w:sz w:val="18"/>
                <w:szCs w:val="18"/>
              </w:rPr>
              <w:t>Joint Medical Program </w:t>
            </w:r>
          </w:p>
        </w:tc>
      </w:tr>
      <w:tr w:rsidR="00CA6882" w:rsidRPr="00CA6882" w14:paraId="416D298E" w14:textId="77777777" w:rsidTr="0098467A">
        <w:trPr>
          <w:jc w:val="center"/>
        </w:trPr>
        <w:tc>
          <w:tcPr>
            <w:tcW w:w="4962" w:type="dxa"/>
          </w:tcPr>
          <w:p w14:paraId="1F301E2E" w14:textId="77777777" w:rsidR="00CA6882" w:rsidRPr="00CE4797" w:rsidRDefault="00CA6882" w:rsidP="0098467A">
            <w:pPr>
              <w:pStyle w:val="NoSpacing"/>
              <w:rPr>
                <w:rFonts w:cs="Calibri"/>
                <w:u w:val="single"/>
              </w:rPr>
            </w:pPr>
            <w:hyperlink r:id="rId25" w:tgtFrame="_blank" w:history="1">
              <w:r w:rsidRPr="00CE4797">
                <w:rPr>
                  <w:rStyle w:val="Hyperlink"/>
                  <w:rFonts w:cs="Calibri"/>
                </w:rPr>
                <w:t>The University of New South Wales</w:t>
              </w:r>
            </w:hyperlink>
          </w:p>
        </w:tc>
        <w:tc>
          <w:tcPr>
            <w:tcW w:w="5387" w:type="dxa"/>
          </w:tcPr>
          <w:p w14:paraId="14029079" w14:textId="77777777" w:rsidR="00CA6882" w:rsidRPr="00CE4797" w:rsidRDefault="00CA6882" w:rsidP="0098467A">
            <w:pPr>
              <w:pStyle w:val="NoSpacing"/>
              <w:rPr>
                <w:rFonts w:cs="Calibri"/>
                <w:sz w:val="18"/>
                <w:szCs w:val="18"/>
              </w:rPr>
            </w:pPr>
            <w:r w:rsidRPr="00CE4797">
              <w:rPr>
                <w:rFonts w:cs="Calibri"/>
                <w:sz w:val="18"/>
                <w:szCs w:val="18"/>
              </w:rPr>
              <w:t>Medicine  </w:t>
            </w:r>
          </w:p>
        </w:tc>
      </w:tr>
      <w:tr w:rsidR="00CA6882" w:rsidRPr="00CA6882" w14:paraId="266FE9EC" w14:textId="77777777" w:rsidTr="0098467A">
        <w:trPr>
          <w:jc w:val="center"/>
        </w:trPr>
        <w:tc>
          <w:tcPr>
            <w:tcW w:w="4962" w:type="dxa"/>
          </w:tcPr>
          <w:p w14:paraId="13DFFDE3" w14:textId="77777777" w:rsidR="00CA6882" w:rsidRPr="00CE4797" w:rsidRDefault="00CA6882" w:rsidP="0098467A">
            <w:pPr>
              <w:pStyle w:val="NoSpacing"/>
              <w:rPr>
                <w:rFonts w:cs="Calibri"/>
              </w:rPr>
            </w:pPr>
            <w:hyperlink r:id="rId26" w:history="1">
              <w:r w:rsidRPr="00CE4797">
                <w:rPr>
                  <w:rStyle w:val="Hyperlink"/>
                  <w:rFonts w:cs="Calibri"/>
                </w:rPr>
                <w:t>University of Notre Dame</w:t>
              </w:r>
            </w:hyperlink>
            <w:r w:rsidRPr="00CE4797">
              <w:rPr>
                <w:rFonts w:cs="Calibri"/>
              </w:rPr>
              <w:t xml:space="preserve"> </w:t>
            </w:r>
          </w:p>
        </w:tc>
        <w:tc>
          <w:tcPr>
            <w:tcW w:w="5387" w:type="dxa"/>
          </w:tcPr>
          <w:p w14:paraId="131BA404" w14:textId="2E3C00AD" w:rsidR="00CA6882" w:rsidRPr="00CE4797" w:rsidRDefault="00CA6882" w:rsidP="0098467A">
            <w:pPr>
              <w:pStyle w:val="NoSpacing"/>
              <w:rPr>
                <w:rFonts w:cs="Calibri"/>
                <w:sz w:val="18"/>
                <w:szCs w:val="18"/>
              </w:rPr>
            </w:pPr>
            <w:r w:rsidRPr="00CE4797">
              <w:rPr>
                <w:rFonts w:cs="Calibri"/>
                <w:sz w:val="18"/>
                <w:szCs w:val="18"/>
              </w:rPr>
              <w:t>Medicine Pathway</w:t>
            </w:r>
          </w:p>
        </w:tc>
      </w:tr>
      <w:tr w:rsidR="00CA6882" w:rsidRPr="00CA6882" w14:paraId="16062895" w14:textId="77777777" w:rsidTr="0098467A">
        <w:trPr>
          <w:jc w:val="center"/>
        </w:trPr>
        <w:tc>
          <w:tcPr>
            <w:tcW w:w="4962" w:type="dxa"/>
          </w:tcPr>
          <w:p w14:paraId="2E6DCC9D" w14:textId="77777777" w:rsidR="00CA6882" w:rsidRPr="00CE4797" w:rsidRDefault="00CA6882" w:rsidP="0098467A">
            <w:pPr>
              <w:pStyle w:val="NoSpacing"/>
              <w:rPr>
                <w:rFonts w:cs="Calibri"/>
              </w:rPr>
            </w:pPr>
            <w:hyperlink r:id="rId27" w:tgtFrame="_blank" w:history="1">
              <w:r w:rsidRPr="00CE4797">
                <w:rPr>
                  <w:rStyle w:val="Hyperlink"/>
                  <w:rFonts w:cs="Calibri"/>
                </w:rPr>
                <w:t>The University of Queensland</w:t>
              </w:r>
            </w:hyperlink>
          </w:p>
        </w:tc>
        <w:tc>
          <w:tcPr>
            <w:tcW w:w="5387" w:type="dxa"/>
          </w:tcPr>
          <w:p w14:paraId="454F809F" w14:textId="77777777" w:rsidR="00CA6882" w:rsidRPr="00CE4797" w:rsidRDefault="00CA6882" w:rsidP="0098467A">
            <w:pPr>
              <w:pStyle w:val="NoSpacing"/>
              <w:rPr>
                <w:rFonts w:cs="Calibri"/>
                <w:sz w:val="18"/>
                <w:szCs w:val="18"/>
              </w:rPr>
            </w:pPr>
            <w:r w:rsidRPr="00CE4797">
              <w:rPr>
                <w:rFonts w:cs="Calibri"/>
                <w:sz w:val="18"/>
                <w:szCs w:val="18"/>
              </w:rPr>
              <w:t>Medicine (provisional entry pathway), Dental Science</w:t>
            </w:r>
          </w:p>
        </w:tc>
      </w:tr>
      <w:tr w:rsidR="00CA6882" w:rsidRPr="00CA6882" w14:paraId="08E17207" w14:textId="77777777" w:rsidTr="0098467A">
        <w:trPr>
          <w:jc w:val="center"/>
        </w:trPr>
        <w:tc>
          <w:tcPr>
            <w:tcW w:w="4962" w:type="dxa"/>
          </w:tcPr>
          <w:p w14:paraId="054FA749" w14:textId="77777777" w:rsidR="00CA6882" w:rsidRPr="00CE4797" w:rsidRDefault="00CA6882" w:rsidP="0098467A">
            <w:pPr>
              <w:pStyle w:val="NoSpacing"/>
              <w:rPr>
                <w:rFonts w:cs="Calibri"/>
              </w:rPr>
            </w:pPr>
            <w:hyperlink r:id="rId28" w:history="1">
              <w:r w:rsidRPr="00CE4797">
                <w:rPr>
                  <w:rStyle w:val="Hyperlink"/>
                  <w:rFonts w:cs="Calibri"/>
                </w:rPr>
                <w:t>University of Southern Queensland</w:t>
              </w:r>
            </w:hyperlink>
            <w:r w:rsidRPr="00CE4797">
              <w:rPr>
                <w:rFonts w:cs="Calibri"/>
              </w:rPr>
              <w:t xml:space="preserve"> </w:t>
            </w:r>
          </w:p>
        </w:tc>
        <w:tc>
          <w:tcPr>
            <w:tcW w:w="5387" w:type="dxa"/>
          </w:tcPr>
          <w:p w14:paraId="5BD1561D" w14:textId="77777777" w:rsidR="00CA6882" w:rsidRPr="00CE4797" w:rsidRDefault="00CA6882" w:rsidP="0098467A">
            <w:pPr>
              <w:pStyle w:val="NoSpacing"/>
              <w:rPr>
                <w:rFonts w:cs="Calibri"/>
                <w:sz w:val="18"/>
                <w:szCs w:val="18"/>
              </w:rPr>
            </w:pPr>
            <w:r w:rsidRPr="00CE4797">
              <w:rPr>
                <w:rFonts w:cs="Calibri"/>
                <w:sz w:val="18"/>
                <w:szCs w:val="18"/>
              </w:rPr>
              <w:t>Medicine Pathway (provisional entry to UQ MD, Darling Downs-South West Medical Pathway)</w:t>
            </w:r>
          </w:p>
        </w:tc>
      </w:tr>
      <w:tr w:rsidR="00CA6882" w:rsidRPr="00CA6882" w14:paraId="0A0E51F1" w14:textId="77777777" w:rsidTr="0098467A">
        <w:trPr>
          <w:jc w:val="center"/>
        </w:trPr>
        <w:tc>
          <w:tcPr>
            <w:tcW w:w="4962" w:type="dxa"/>
          </w:tcPr>
          <w:p w14:paraId="4BE021B4" w14:textId="77777777" w:rsidR="00CA6882" w:rsidRPr="00CE4797" w:rsidRDefault="00CA6882" w:rsidP="0098467A">
            <w:pPr>
              <w:pStyle w:val="NoSpacing"/>
              <w:rPr>
                <w:rFonts w:cs="Calibri"/>
              </w:rPr>
            </w:pPr>
            <w:hyperlink r:id="rId29" w:history="1">
              <w:r w:rsidRPr="00CE4797">
                <w:rPr>
                  <w:rStyle w:val="Hyperlink"/>
                  <w:rFonts w:cs="Calibri"/>
                </w:rPr>
                <w:t>University of the Sunshine Coast</w:t>
              </w:r>
            </w:hyperlink>
            <w:r w:rsidRPr="00CE4797">
              <w:rPr>
                <w:rFonts w:cs="Calibri"/>
              </w:rPr>
              <w:t xml:space="preserve"> </w:t>
            </w:r>
          </w:p>
        </w:tc>
        <w:tc>
          <w:tcPr>
            <w:tcW w:w="5387" w:type="dxa"/>
          </w:tcPr>
          <w:p w14:paraId="7079C1D7" w14:textId="77777777" w:rsidR="00CA6882" w:rsidRPr="00CE4797" w:rsidRDefault="00CA6882" w:rsidP="0098467A">
            <w:pPr>
              <w:pStyle w:val="NoSpacing"/>
              <w:rPr>
                <w:rFonts w:cs="Calibri"/>
                <w:sz w:val="18"/>
                <w:szCs w:val="18"/>
              </w:rPr>
            </w:pPr>
            <w:r w:rsidRPr="00CE4797">
              <w:rPr>
                <w:rFonts w:cs="Calibri"/>
                <w:sz w:val="18"/>
                <w:szCs w:val="18"/>
              </w:rPr>
              <w:t>Medicine Science (optional) (provisional entry pathway to MD program at Griffith University)</w:t>
            </w:r>
          </w:p>
        </w:tc>
      </w:tr>
      <w:tr w:rsidR="00CA6882" w:rsidRPr="00CA6882" w14:paraId="075A58CE" w14:textId="77777777" w:rsidTr="0098467A">
        <w:trPr>
          <w:jc w:val="center"/>
        </w:trPr>
        <w:tc>
          <w:tcPr>
            <w:tcW w:w="4962" w:type="dxa"/>
          </w:tcPr>
          <w:p w14:paraId="626A2F57" w14:textId="77777777" w:rsidR="00CA6882" w:rsidRPr="00CE4797" w:rsidRDefault="00CA6882" w:rsidP="0098467A">
            <w:pPr>
              <w:pStyle w:val="NoSpacing"/>
              <w:rPr>
                <w:rFonts w:cs="Calibri"/>
                <w:u w:val="single"/>
              </w:rPr>
            </w:pPr>
            <w:hyperlink r:id="rId30" w:tgtFrame="_blank" w:history="1">
              <w:r w:rsidRPr="00CE4797">
                <w:rPr>
                  <w:rStyle w:val="Hyperlink"/>
                  <w:rFonts w:cs="Calibri"/>
                </w:rPr>
                <w:t>University of Tasmania </w:t>
              </w:r>
            </w:hyperlink>
          </w:p>
        </w:tc>
        <w:tc>
          <w:tcPr>
            <w:tcW w:w="5387" w:type="dxa"/>
          </w:tcPr>
          <w:p w14:paraId="1EA6FD91" w14:textId="77777777" w:rsidR="00CA6882" w:rsidRPr="00CE4797" w:rsidRDefault="00CA6882" w:rsidP="0098467A">
            <w:pPr>
              <w:pStyle w:val="NoSpacing"/>
              <w:rPr>
                <w:rFonts w:cs="Calibri"/>
                <w:sz w:val="18"/>
                <w:szCs w:val="18"/>
              </w:rPr>
            </w:pPr>
            <w:r w:rsidRPr="00CE4797">
              <w:rPr>
                <w:rFonts w:cs="Calibri"/>
                <w:sz w:val="18"/>
                <w:szCs w:val="18"/>
              </w:rPr>
              <w:t>Medicine </w:t>
            </w:r>
          </w:p>
        </w:tc>
      </w:tr>
      <w:tr w:rsidR="00CA6882" w:rsidRPr="00CA6882" w14:paraId="00BB4BD4" w14:textId="77777777" w:rsidTr="0098467A">
        <w:trPr>
          <w:jc w:val="center"/>
        </w:trPr>
        <w:tc>
          <w:tcPr>
            <w:tcW w:w="4962" w:type="dxa"/>
          </w:tcPr>
          <w:p w14:paraId="300D81FF" w14:textId="77777777" w:rsidR="00CA6882" w:rsidRPr="00CE4797" w:rsidRDefault="00CA6882" w:rsidP="0098467A">
            <w:pPr>
              <w:pStyle w:val="NoSpacing"/>
              <w:rPr>
                <w:rFonts w:cs="Calibri"/>
                <w:u w:val="single"/>
              </w:rPr>
            </w:pPr>
            <w:hyperlink r:id="rId31" w:tgtFrame="_blank" w:history="1">
              <w:r w:rsidRPr="00CE4797">
                <w:rPr>
                  <w:rStyle w:val="Hyperlink"/>
                  <w:rFonts w:cs="Calibri"/>
                </w:rPr>
                <w:t>The University of Western Australia</w:t>
              </w:r>
            </w:hyperlink>
            <w:r w:rsidRPr="00CE4797">
              <w:rPr>
                <w:rFonts w:cs="Calibri"/>
                <w:u w:val="single"/>
              </w:rPr>
              <w:t xml:space="preserve"> </w:t>
            </w:r>
          </w:p>
        </w:tc>
        <w:tc>
          <w:tcPr>
            <w:tcW w:w="5387" w:type="dxa"/>
          </w:tcPr>
          <w:p w14:paraId="1140DF18" w14:textId="77777777" w:rsidR="00CA6882" w:rsidRPr="00CE4797" w:rsidRDefault="00CA6882" w:rsidP="0098467A">
            <w:pPr>
              <w:pStyle w:val="NoSpacing"/>
              <w:rPr>
                <w:rFonts w:cs="Calibri"/>
                <w:sz w:val="18"/>
                <w:szCs w:val="18"/>
              </w:rPr>
            </w:pPr>
            <w:r w:rsidRPr="00CE4797">
              <w:rPr>
                <w:rFonts w:cs="Calibri"/>
                <w:sz w:val="18"/>
                <w:szCs w:val="18"/>
              </w:rPr>
              <w:t>Doctor of Medicine via Bachelor of Biomedicine (Specialised)</w:t>
            </w:r>
            <w:r w:rsidRPr="00CE4797">
              <w:rPr>
                <w:rFonts w:cs="Calibri"/>
                <w:sz w:val="18"/>
                <w:szCs w:val="18"/>
              </w:rPr>
              <w:br/>
              <w:t>Doctor of Dental Medicine via Bachelor of Biomedicine (Specialised)</w:t>
            </w:r>
          </w:p>
        </w:tc>
      </w:tr>
      <w:tr w:rsidR="00CA6882" w:rsidRPr="00CA6882" w14:paraId="3980C9F4" w14:textId="77777777" w:rsidTr="0098467A">
        <w:trPr>
          <w:jc w:val="center"/>
        </w:trPr>
        <w:tc>
          <w:tcPr>
            <w:tcW w:w="4962" w:type="dxa"/>
          </w:tcPr>
          <w:p w14:paraId="2C58A8A8" w14:textId="77777777" w:rsidR="00CA6882" w:rsidRPr="00CE4797" w:rsidRDefault="00CA6882" w:rsidP="0098467A">
            <w:pPr>
              <w:pStyle w:val="NoSpacing"/>
              <w:rPr>
                <w:rFonts w:cs="Calibri"/>
                <w:u w:val="single"/>
              </w:rPr>
            </w:pPr>
            <w:hyperlink r:id="rId32" w:tgtFrame="_blank" w:history="1">
              <w:r w:rsidRPr="00CE4797">
                <w:rPr>
                  <w:rStyle w:val="Hyperlink"/>
                  <w:rFonts w:cs="Calibri"/>
                </w:rPr>
                <w:t>Western Sydney University</w:t>
              </w:r>
            </w:hyperlink>
          </w:p>
        </w:tc>
        <w:tc>
          <w:tcPr>
            <w:tcW w:w="5387" w:type="dxa"/>
          </w:tcPr>
          <w:p w14:paraId="604B080D" w14:textId="77777777" w:rsidR="00CA6882" w:rsidRPr="00CE4797" w:rsidRDefault="00CA6882" w:rsidP="0098467A">
            <w:pPr>
              <w:pStyle w:val="NoSpacing"/>
              <w:rPr>
                <w:rFonts w:cs="Calibri"/>
                <w:sz w:val="18"/>
                <w:szCs w:val="18"/>
              </w:rPr>
            </w:pPr>
            <w:r w:rsidRPr="00CE4797">
              <w:rPr>
                <w:rFonts w:cs="Calibri"/>
                <w:sz w:val="18"/>
                <w:szCs w:val="18"/>
              </w:rPr>
              <w:t>Medicine (Joint Program in Medicine)</w:t>
            </w:r>
          </w:p>
        </w:tc>
      </w:tr>
      <w:tr w:rsidR="00CA6882" w:rsidRPr="00CA6882" w14:paraId="3A2FE940" w14:textId="77777777" w:rsidTr="0098467A">
        <w:trPr>
          <w:jc w:val="center"/>
        </w:trPr>
        <w:tc>
          <w:tcPr>
            <w:tcW w:w="4962" w:type="dxa"/>
          </w:tcPr>
          <w:p w14:paraId="1CD0751A" w14:textId="77777777" w:rsidR="00CA6882" w:rsidRPr="00CE4797" w:rsidRDefault="00CA6882" w:rsidP="0098467A">
            <w:pPr>
              <w:pStyle w:val="NoSpacing"/>
              <w:rPr>
                <w:rFonts w:cs="Calibri"/>
                <w:u w:val="single"/>
              </w:rPr>
            </w:pPr>
            <w:hyperlink r:id="rId33" w:tgtFrame="_blank" w:history="1">
              <w:r w:rsidRPr="00CE4797">
                <w:rPr>
                  <w:rStyle w:val="Hyperlink"/>
                  <w:rFonts w:cs="Calibri"/>
                </w:rPr>
                <w:t>The University of Auckland</w:t>
              </w:r>
            </w:hyperlink>
            <w:r w:rsidRPr="00CE4797">
              <w:rPr>
                <w:rFonts w:cs="Calibri"/>
                <w:u w:val="single"/>
              </w:rPr>
              <w:t xml:space="preserve"> (NZ)</w:t>
            </w:r>
          </w:p>
        </w:tc>
        <w:tc>
          <w:tcPr>
            <w:tcW w:w="5387" w:type="dxa"/>
          </w:tcPr>
          <w:p w14:paraId="042929A9" w14:textId="77777777" w:rsidR="00CA6882" w:rsidRPr="00CE4797" w:rsidRDefault="00CA6882" w:rsidP="0098467A">
            <w:pPr>
              <w:pStyle w:val="NoSpacing"/>
              <w:rPr>
                <w:rFonts w:cs="Calibri"/>
                <w:sz w:val="18"/>
                <w:szCs w:val="18"/>
              </w:rPr>
            </w:pPr>
            <w:r w:rsidRPr="00CE4797">
              <w:rPr>
                <w:rFonts w:cs="Calibri"/>
                <w:sz w:val="18"/>
                <w:szCs w:val="18"/>
              </w:rPr>
              <w:t>Medicine</w:t>
            </w:r>
          </w:p>
        </w:tc>
      </w:tr>
      <w:tr w:rsidR="00CA6882" w:rsidRPr="00CA6882" w14:paraId="52C117DC" w14:textId="77777777" w:rsidTr="0098467A">
        <w:trPr>
          <w:jc w:val="center"/>
        </w:trPr>
        <w:tc>
          <w:tcPr>
            <w:tcW w:w="4962" w:type="dxa"/>
          </w:tcPr>
          <w:p w14:paraId="5B140035" w14:textId="77777777" w:rsidR="00CA6882" w:rsidRPr="00CE4797" w:rsidRDefault="00CA6882" w:rsidP="0098467A">
            <w:pPr>
              <w:pStyle w:val="NoSpacing"/>
              <w:rPr>
                <w:rFonts w:cs="Calibri"/>
                <w:u w:val="single"/>
              </w:rPr>
            </w:pPr>
            <w:hyperlink r:id="rId34" w:tgtFrame="_blank" w:history="1">
              <w:r w:rsidRPr="00CE4797">
                <w:rPr>
                  <w:rStyle w:val="Hyperlink"/>
                  <w:rFonts w:cs="Calibri"/>
                </w:rPr>
                <w:t>University of Otago</w:t>
              </w:r>
            </w:hyperlink>
            <w:r w:rsidRPr="00CE4797">
              <w:rPr>
                <w:rStyle w:val="Hyperlink"/>
                <w:rFonts w:cs="Calibri"/>
              </w:rPr>
              <w:t xml:space="preserve"> </w:t>
            </w:r>
            <w:r w:rsidRPr="00CE4797">
              <w:rPr>
                <w:rStyle w:val="Hyperlink"/>
                <w:rFonts w:cs="Calibri"/>
                <w:color w:val="auto"/>
              </w:rPr>
              <w:t>NZ</w:t>
            </w:r>
          </w:p>
        </w:tc>
        <w:tc>
          <w:tcPr>
            <w:tcW w:w="5387" w:type="dxa"/>
          </w:tcPr>
          <w:p w14:paraId="2958E7CB" w14:textId="77777777" w:rsidR="00CA6882" w:rsidRPr="00CE4797" w:rsidRDefault="00CA6882" w:rsidP="0098467A">
            <w:pPr>
              <w:pStyle w:val="NoSpacing"/>
              <w:rPr>
                <w:rFonts w:cs="Calibri"/>
                <w:sz w:val="18"/>
                <w:szCs w:val="18"/>
              </w:rPr>
            </w:pPr>
            <w:r w:rsidRPr="00CE4797">
              <w:rPr>
                <w:rFonts w:cs="Calibri"/>
                <w:sz w:val="18"/>
                <w:szCs w:val="18"/>
              </w:rPr>
              <w:t>Medicine</w:t>
            </w:r>
          </w:p>
        </w:tc>
      </w:tr>
    </w:tbl>
    <w:p w14:paraId="54BD26D7" w14:textId="77777777" w:rsidR="00CA6882" w:rsidRPr="00CA0FF3" w:rsidRDefault="00CA6882" w:rsidP="00CA6882">
      <w:pPr>
        <w:pStyle w:val="NoSpacing"/>
        <w:rPr>
          <w:rFonts w:cs="Calibri"/>
          <w:b/>
          <w:sz w:val="28"/>
          <w:szCs w:val="24"/>
          <w:u w:val="single"/>
        </w:rPr>
      </w:pPr>
    </w:p>
    <w:p w14:paraId="53D6E3C6" w14:textId="77777777" w:rsidR="00ED6458" w:rsidRDefault="00ED6458">
      <w:pPr>
        <w:rPr>
          <w:rFonts w:asciiTheme="minorHAnsi" w:hAnsiTheme="minorHAnsi" w:cstheme="minorHAnsi"/>
          <w:b/>
        </w:rPr>
      </w:pPr>
    </w:p>
    <w:p w14:paraId="22FF9CD5" w14:textId="77777777" w:rsidR="00ED6458" w:rsidRPr="000D552D" w:rsidRDefault="00ED6458">
      <w:pPr>
        <w:rPr>
          <w:rFonts w:asciiTheme="minorHAnsi" w:hAnsiTheme="minorHAnsi" w:cstheme="minorHAnsi"/>
          <w:b/>
          <w:sz w:val="12"/>
          <w:szCs w:val="12"/>
        </w:rPr>
      </w:pPr>
    </w:p>
    <w:p w14:paraId="7D6E456F" w14:textId="77777777" w:rsidR="00356A67" w:rsidRPr="009757E5" w:rsidRDefault="00356A67" w:rsidP="00356A67">
      <w:pPr>
        <w:pStyle w:val="NoSpacing"/>
        <w:rPr>
          <w:b/>
          <w:sz w:val="28"/>
          <w:szCs w:val="28"/>
          <w:u w:val="single"/>
        </w:rPr>
      </w:pPr>
      <w:r w:rsidRPr="002F1824">
        <w:rPr>
          <w:b/>
          <w:noProof/>
          <w:sz w:val="28"/>
          <w:u w:val="single"/>
          <w:lang w:eastAsia="zh-CN"/>
        </w:rPr>
        <w:drawing>
          <wp:inline distT="0" distB="0" distL="0" distR="0" wp14:anchorId="555F986C" wp14:editId="4F673AA1">
            <wp:extent cx="1237113" cy="580666"/>
            <wp:effectExtent l="0" t="0" r="1270" b="0"/>
            <wp:docPr id="3" name="Picture 3" descr="https://encrypted-tbn1.gstatic.com/images?q=tbn:ANd9GcR_Axhttquy3BSp429oQW75Sk8EOtuUuQF8ayrHtPX0Ic4to1y_3ylFp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_Axhttquy3BSp429oQW75Sk8EOtuUuQF8ayrHtPX0Ic4to1y_3ylFph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56951" cy="589977"/>
                    </a:xfrm>
                    <a:prstGeom prst="rect">
                      <a:avLst/>
                    </a:prstGeom>
                    <a:noFill/>
                    <a:ln>
                      <a:noFill/>
                    </a:ln>
                  </pic:spPr>
                </pic:pic>
              </a:graphicData>
            </a:graphic>
          </wp:inline>
        </w:drawing>
      </w:r>
      <w:r w:rsidRPr="009757E5">
        <w:rPr>
          <w:rStyle w:val="Heading1Char"/>
          <w:sz w:val="28"/>
          <w:szCs w:val="28"/>
          <w:u w:val="single"/>
        </w:rPr>
        <w:t xml:space="preserve"> </w:t>
      </w:r>
      <w:r w:rsidRPr="009757E5">
        <w:rPr>
          <w:b/>
          <w:bCs/>
          <w:sz w:val="28"/>
          <w:szCs w:val="28"/>
          <w:u w:val="single"/>
        </w:rPr>
        <w:t>Academic Excellence Scheme</w:t>
      </w:r>
    </w:p>
    <w:p w14:paraId="0A6AA60B" w14:textId="6DE516C1" w:rsidR="00356A67" w:rsidRDefault="00356A67" w:rsidP="00356A67">
      <w:pPr>
        <w:pStyle w:val="NoSpacing"/>
        <w:rPr>
          <w:sz w:val="24"/>
          <w:szCs w:val="24"/>
        </w:rPr>
      </w:pPr>
      <w:r>
        <w:rPr>
          <w:sz w:val="24"/>
          <w:szCs w:val="24"/>
        </w:rPr>
        <w:t>The University of Sydney offers t</w:t>
      </w:r>
      <w:r w:rsidRPr="009757E5">
        <w:rPr>
          <w:sz w:val="24"/>
          <w:szCs w:val="24"/>
        </w:rPr>
        <w:t xml:space="preserve">he </w:t>
      </w:r>
      <w:r w:rsidRPr="009757E5">
        <w:rPr>
          <w:b/>
          <w:i/>
          <w:sz w:val="24"/>
          <w:szCs w:val="24"/>
        </w:rPr>
        <w:t>Academic Excellence Scheme</w:t>
      </w:r>
      <w:r>
        <w:rPr>
          <w:b/>
          <w:i/>
          <w:sz w:val="24"/>
          <w:szCs w:val="24"/>
        </w:rPr>
        <w:t xml:space="preserve"> </w:t>
      </w:r>
      <w:r>
        <w:rPr>
          <w:bCs/>
          <w:iCs/>
          <w:sz w:val="24"/>
          <w:szCs w:val="24"/>
        </w:rPr>
        <w:t xml:space="preserve">which is an </w:t>
      </w:r>
      <w:r w:rsidRPr="00356A67">
        <w:rPr>
          <w:bCs/>
          <w:iCs/>
          <w:sz w:val="24"/>
          <w:szCs w:val="24"/>
        </w:rPr>
        <w:t xml:space="preserve">admission pathway </w:t>
      </w:r>
      <w:r>
        <w:rPr>
          <w:bCs/>
          <w:iCs/>
          <w:sz w:val="24"/>
          <w:szCs w:val="24"/>
        </w:rPr>
        <w:t xml:space="preserve">that </w:t>
      </w:r>
      <w:r w:rsidRPr="00356A67">
        <w:rPr>
          <w:bCs/>
          <w:iCs/>
          <w:sz w:val="24"/>
          <w:szCs w:val="24"/>
        </w:rPr>
        <w:t>recognises high performance in English and mathematics by applying adjustment factors to boost</w:t>
      </w:r>
      <w:r>
        <w:rPr>
          <w:bCs/>
          <w:iCs/>
          <w:sz w:val="24"/>
          <w:szCs w:val="24"/>
        </w:rPr>
        <w:t xml:space="preserve">s a student’s </w:t>
      </w:r>
      <w:r w:rsidRPr="00356A67">
        <w:rPr>
          <w:bCs/>
          <w:iCs/>
          <w:sz w:val="24"/>
          <w:szCs w:val="24"/>
        </w:rPr>
        <w:t>selection rank.</w:t>
      </w:r>
      <w:r>
        <w:rPr>
          <w:sz w:val="24"/>
          <w:szCs w:val="24"/>
        </w:rPr>
        <w:t xml:space="preserve">  </w:t>
      </w:r>
      <w:r>
        <w:rPr>
          <w:sz w:val="24"/>
          <w:szCs w:val="24"/>
        </w:rPr>
        <w:br/>
      </w:r>
      <w:r>
        <w:rPr>
          <w:sz w:val="24"/>
          <w:szCs w:val="24"/>
        </w:rPr>
        <w:br/>
      </w:r>
      <w:r w:rsidRPr="009757E5">
        <w:rPr>
          <w:sz w:val="24"/>
          <w:szCs w:val="24"/>
        </w:rPr>
        <w:t>A student's ATAR will not change; however, their selection rank can increase for particular courses based on these subject-related adjustment factors.</w:t>
      </w:r>
    </w:p>
    <w:p w14:paraId="3870AB12" w14:textId="67A2BF9F" w:rsidR="00356A67" w:rsidRDefault="00356A67" w:rsidP="00356A67">
      <w:pPr>
        <w:pStyle w:val="NoSpacing"/>
        <w:rPr>
          <w:rStyle w:val="Hyperlink"/>
          <w:bCs/>
          <w:color w:val="auto"/>
          <w:sz w:val="24"/>
          <w:szCs w:val="24"/>
          <w:u w:val="none"/>
        </w:rPr>
      </w:pPr>
      <w:r>
        <w:rPr>
          <w:b/>
          <w:sz w:val="24"/>
          <w:szCs w:val="24"/>
        </w:rPr>
        <w:br/>
        <w:t xml:space="preserve">Students considering studying at the University of Sydney in 2027 or beyond, are recommended to find out more at </w:t>
      </w:r>
      <w:hyperlink r:id="rId36" w:history="1">
        <w:r>
          <w:rPr>
            <w:rStyle w:val="Hyperlink"/>
            <w:b/>
            <w:sz w:val="24"/>
            <w:szCs w:val="24"/>
          </w:rPr>
          <w:t>Academic Excellence Scheme</w:t>
        </w:r>
      </w:hyperlink>
      <w:r>
        <w:rPr>
          <w:rStyle w:val="Hyperlink"/>
          <w:bCs/>
          <w:color w:val="auto"/>
          <w:sz w:val="24"/>
          <w:szCs w:val="24"/>
          <w:u w:val="none"/>
        </w:rPr>
        <w:t>.</w:t>
      </w:r>
    </w:p>
    <w:p w14:paraId="4B49EAA5" w14:textId="77777777" w:rsidR="00215026" w:rsidRDefault="00215026" w:rsidP="00356A67">
      <w:pPr>
        <w:pStyle w:val="NoSpacing"/>
        <w:rPr>
          <w:rStyle w:val="Hyperlink"/>
          <w:bCs/>
          <w:color w:val="auto"/>
          <w:sz w:val="24"/>
          <w:szCs w:val="24"/>
          <w:u w:val="none"/>
        </w:rPr>
      </w:pPr>
    </w:p>
    <w:p w14:paraId="5333EB62" w14:textId="77777777" w:rsidR="00215026" w:rsidRDefault="00215026" w:rsidP="00356A67">
      <w:pPr>
        <w:pStyle w:val="NoSpacing"/>
        <w:rPr>
          <w:rStyle w:val="Hyperlink"/>
          <w:bCs/>
          <w:color w:val="auto"/>
          <w:sz w:val="24"/>
          <w:szCs w:val="24"/>
          <w:u w:val="none"/>
        </w:rPr>
      </w:pPr>
    </w:p>
    <w:p w14:paraId="4565664C" w14:textId="278BF6CC" w:rsidR="00215026" w:rsidRPr="00EC4C79" w:rsidRDefault="00215026" w:rsidP="00215026">
      <w:pPr>
        <w:pStyle w:val="NoSpacing"/>
        <w:rPr>
          <w:rFonts w:cs="Calibri"/>
          <w:b/>
          <w:bCs/>
          <w:sz w:val="28"/>
          <w:szCs w:val="28"/>
          <w:u w:val="single"/>
        </w:rPr>
      </w:pPr>
      <w:r w:rsidRPr="00EC4C79">
        <w:rPr>
          <w:rFonts w:eastAsia="Times New Roman" w:cs="Tahoma"/>
          <w:noProof/>
          <w:sz w:val="18"/>
          <w:szCs w:val="18"/>
          <w:u w:val="single"/>
          <w:lang w:eastAsia="zh-CN"/>
        </w:rPr>
        <w:lastRenderedPageBreak/>
        <w:drawing>
          <wp:inline distT="0" distB="0" distL="0" distR="0" wp14:anchorId="7EA32F6C" wp14:editId="555F2DAE">
            <wp:extent cx="3418840" cy="437515"/>
            <wp:effectExtent l="0" t="0" r="0" b="635"/>
            <wp:docPr id="16" name="Picture 16" descr="ADF Gap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DF Gap Yea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18840" cy="437515"/>
                    </a:xfrm>
                    <a:prstGeom prst="rect">
                      <a:avLst/>
                    </a:prstGeom>
                    <a:noFill/>
                    <a:ln>
                      <a:noFill/>
                    </a:ln>
                  </pic:spPr>
                </pic:pic>
              </a:graphicData>
            </a:graphic>
          </wp:inline>
        </w:drawing>
      </w:r>
      <w:r w:rsidRPr="00EC4C79">
        <w:rPr>
          <w:rFonts w:cs="Calibri"/>
          <w:sz w:val="24"/>
          <w:szCs w:val="24"/>
          <w:u w:val="single"/>
        </w:rPr>
        <w:t xml:space="preserve"> </w:t>
      </w:r>
      <w:r>
        <w:rPr>
          <w:rFonts w:cs="Calibri"/>
          <w:sz w:val="24"/>
          <w:szCs w:val="24"/>
          <w:u w:val="single"/>
        </w:rPr>
        <w:t xml:space="preserve"> </w:t>
      </w:r>
      <w:r w:rsidRPr="00EC4C79">
        <w:rPr>
          <w:rFonts w:cs="Calibri"/>
          <w:b/>
          <w:bCs/>
          <w:sz w:val="28"/>
          <w:szCs w:val="28"/>
          <w:u w:val="single"/>
        </w:rPr>
        <w:t>ADF GAP Year</w:t>
      </w:r>
    </w:p>
    <w:p w14:paraId="5E1249B9" w14:textId="4D63401E" w:rsidR="00215026" w:rsidRPr="00C00425" w:rsidRDefault="00215026" w:rsidP="00215026">
      <w:pPr>
        <w:pStyle w:val="NoSpacing"/>
        <w:rPr>
          <w:rStyle w:val="Hyperlink"/>
          <w:rFonts w:cs="Calibri"/>
          <w:b/>
          <w:sz w:val="24"/>
          <w:szCs w:val="24"/>
        </w:rPr>
      </w:pPr>
      <w:r w:rsidRPr="00C00425">
        <w:rPr>
          <w:sz w:val="24"/>
        </w:rPr>
        <w:t xml:space="preserve">The </w:t>
      </w:r>
      <w:r w:rsidRPr="00C00425">
        <w:rPr>
          <w:b/>
          <w:sz w:val="24"/>
        </w:rPr>
        <w:t xml:space="preserve">ADF Gap Year </w:t>
      </w:r>
      <w:r w:rsidRPr="00C00425">
        <w:rPr>
          <w:sz w:val="24"/>
        </w:rPr>
        <w:t>program provides an opportunity for young Australians, who have finished Year 12 (or equivalent) and are aged between 17 and 24, to experience military training and lifestyle whilst gaining new skills and pay over their Gap Year.</w:t>
      </w:r>
      <w:r>
        <w:rPr>
          <w:sz w:val="24"/>
        </w:rPr>
        <w:t xml:space="preserve">  </w:t>
      </w:r>
      <w:r w:rsidRPr="00C00425">
        <w:rPr>
          <w:sz w:val="24"/>
        </w:rPr>
        <w:t xml:space="preserve">The life skills and job training that students acquire during their Gap Year experience will be valuable regardless of what career </w:t>
      </w:r>
      <w:r>
        <w:rPr>
          <w:sz w:val="24"/>
        </w:rPr>
        <w:t>they</w:t>
      </w:r>
      <w:r w:rsidRPr="00C00425">
        <w:rPr>
          <w:sz w:val="24"/>
        </w:rPr>
        <w:t xml:space="preserve"> ultimately undertake.  </w:t>
      </w:r>
      <w:r>
        <w:rPr>
          <w:sz w:val="24"/>
        </w:rPr>
        <w:br/>
      </w:r>
      <w:r>
        <w:rPr>
          <w:sz w:val="24"/>
        </w:rPr>
        <w:br/>
      </w:r>
      <w:r w:rsidRPr="00C00425">
        <w:rPr>
          <w:b/>
          <w:sz w:val="24"/>
        </w:rPr>
        <w:t>Gap Year opportunities are available in the Navy, Army, and Air Force.</w:t>
      </w:r>
      <w:r>
        <w:rPr>
          <w:b/>
          <w:sz w:val="24"/>
        </w:rPr>
        <w:t xml:space="preserve">  This is a useful link to browse - </w:t>
      </w:r>
      <w:hyperlink r:id="rId38" w:history="1">
        <w:r>
          <w:rPr>
            <w:rStyle w:val="Hyperlink"/>
            <w:b/>
            <w:sz w:val="24"/>
          </w:rPr>
          <w:t>What is an ADF Gap Year?</w:t>
        </w:r>
      </w:hyperlink>
      <w:r>
        <w:rPr>
          <w:b/>
          <w:sz w:val="24"/>
        </w:rPr>
        <w:t xml:space="preserve"> </w:t>
      </w:r>
      <w:r w:rsidRPr="00C00425">
        <w:rPr>
          <w:sz w:val="24"/>
        </w:rPr>
        <w:br/>
      </w:r>
      <w:r w:rsidRPr="00C00425">
        <w:rPr>
          <w:sz w:val="24"/>
        </w:rPr>
        <w:br/>
      </w:r>
    </w:p>
    <w:p w14:paraId="0AFAEA42" w14:textId="3AB9A132" w:rsidR="00180C42" w:rsidRPr="00180C42" w:rsidRDefault="00180C42" w:rsidP="00180C42">
      <w:pPr>
        <w:rPr>
          <w:rFonts w:asciiTheme="minorHAnsi" w:hAnsiTheme="minorHAnsi" w:cstheme="minorHAnsi"/>
          <w:b/>
          <w:bCs/>
          <w:i/>
          <w:iCs/>
          <w:noProof/>
        </w:rPr>
      </w:pPr>
      <w:r w:rsidRPr="00180C42">
        <w:rPr>
          <w:noProof/>
          <w:u w:val="single"/>
        </w:rPr>
        <w:drawing>
          <wp:inline distT="0" distB="0" distL="0" distR="0" wp14:anchorId="1FE9937A" wp14:editId="31A2C547">
            <wp:extent cx="1552575" cy="579759"/>
            <wp:effectExtent l="0" t="0" r="0" b="0"/>
            <wp:docPr id="225099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54029" cy="580302"/>
                    </a:xfrm>
                    <a:prstGeom prst="rect">
                      <a:avLst/>
                    </a:prstGeom>
                    <a:noFill/>
                    <a:ln>
                      <a:noFill/>
                    </a:ln>
                  </pic:spPr>
                </pic:pic>
              </a:graphicData>
            </a:graphic>
          </wp:inline>
        </w:drawing>
      </w:r>
      <w:r w:rsidRPr="00180C42">
        <w:rPr>
          <w:rFonts w:asciiTheme="minorHAnsi" w:hAnsiTheme="minorHAnsi" w:cstheme="minorHAnsi"/>
          <w:b/>
          <w:bCs/>
          <w:sz w:val="28"/>
          <w:u w:val="single"/>
        </w:rPr>
        <w:t xml:space="preserve">  2026 Marine Discovery Competition</w:t>
      </w:r>
      <w:r>
        <w:rPr>
          <w:rFonts w:asciiTheme="minorHAnsi" w:hAnsiTheme="minorHAnsi" w:cstheme="minorHAnsi"/>
          <w:b/>
          <w:bCs/>
          <w:sz w:val="28"/>
          <w:u w:val="single"/>
        </w:rPr>
        <w:br/>
      </w:r>
      <w:r w:rsidRPr="00963063">
        <w:rPr>
          <w:rFonts w:asciiTheme="minorHAnsi" w:hAnsiTheme="minorHAnsi" w:cstheme="minorHAnsi"/>
          <w:i/>
          <w:iCs/>
          <w:noProof/>
        </w:rPr>
        <w:t xml:space="preserve">The University of Tasmania is once again proud to present Year 11 and 12 students with a once-in-a-lifetime opportunity to experience a week as a marine biologist.  This is </w:t>
      </w:r>
      <w:r>
        <w:rPr>
          <w:rFonts w:asciiTheme="minorHAnsi" w:hAnsiTheme="minorHAnsi" w:cstheme="minorHAnsi"/>
          <w:i/>
          <w:iCs/>
          <w:noProof/>
        </w:rPr>
        <w:t xml:space="preserve">the </w:t>
      </w:r>
      <w:r w:rsidRPr="00180C42">
        <w:rPr>
          <w:rFonts w:asciiTheme="minorHAnsi" w:hAnsiTheme="minorHAnsi" w:cstheme="minorHAnsi"/>
          <w:b/>
          <w:bCs/>
          <w:i/>
          <w:iCs/>
          <w:noProof/>
        </w:rPr>
        <w:t xml:space="preserve">Maria Island </w:t>
      </w:r>
      <w:r>
        <w:rPr>
          <w:rFonts w:asciiTheme="minorHAnsi" w:hAnsiTheme="minorHAnsi" w:cstheme="minorHAnsi"/>
          <w:b/>
          <w:bCs/>
          <w:i/>
          <w:iCs/>
          <w:noProof/>
        </w:rPr>
        <w:t>M</w:t>
      </w:r>
      <w:r w:rsidRPr="00180C42">
        <w:rPr>
          <w:rFonts w:asciiTheme="minorHAnsi" w:hAnsiTheme="minorHAnsi" w:cstheme="minorHAnsi"/>
          <w:b/>
          <w:bCs/>
          <w:i/>
          <w:iCs/>
          <w:noProof/>
        </w:rPr>
        <w:t xml:space="preserve">arine </w:t>
      </w:r>
      <w:r>
        <w:rPr>
          <w:rFonts w:asciiTheme="minorHAnsi" w:hAnsiTheme="minorHAnsi" w:cstheme="minorHAnsi"/>
          <w:b/>
          <w:bCs/>
          <w:i/>
          <w:iCs/>
          <w:noProof/>
        </w:rPr>
        <w:t>B</w:t>
      </w:r>
      <w:r w:rsidRPr="00180C42">
        <w:rPr>
          <w:rFonts w:asciiTheme="minorHAnsi" w:hAnsiTheme="minorHAnsi" w:cstheme="minorHAnsi"/>
          <w:b/>
          <w:bCs/>
          <w:i/>
          <w:iCs/>
          <w:noProof/>
        </w:rPr>
        <w:t xml:space="preserve">iology </w:t>
      </w:r>
      <w:r>
        <w:rPr>
          <w:rFonts w:asciiTheme="minorHAnsi" w:hAnsiTheme="minorHAnsi" w:cstheme="minorHAnsi"/>
          <w:b/>
          <w:bCs/>
          <w:i/>
          <w:iCs/>
          <w:noProof/>
        </w:rPr>
        <w:t>E</w:t>
      </w:r>
      <w:r w:rsidRPr="00180C42">
        <w:rPr>
          <w:rFonts w:asciiTheme="minorHAnsi" w:hAnsiTheme="minorHAnsi" w:cstheme="minorHAnsi"/>
          <w:b/>
          <w:bCs/>
          <w:i/>
          <w:iCs/>
          <w:noProof/>
        </w:rPr>
        <w:t>xperience</w:t>
      </w:r>
      <w:r w:rsidR="00C80711">
        <w:rPr>
          <w:rFonts w:asciiTheme="minorHAnsi" w:hAnsiTheme="minorHAnsi" w:cstheme="minorHAnsi"/>
          <w:b/>
          <w:bCs/>
          <w:i/>
          <w:iCs/>
          <w:noProof/>
        </w:rPr>
        <w:t>, and will take place from 20 – 26 April 2026.</w:t>
      </w:r>
    </w:p>
    <w:p w14:paraId="4F7A8954" w14:textId="56F9A01F" w:rsidR="00180C42" w:rsidRPr="00B47E7E" w:rsidRDefault="00180C42" w:rsidP="00180C42">
      <w:pPr>
        <w:rPr>
          <w:rFonts w:asciiTheme="minorHAnsi" w:hAnsiTheme="minorHAnsi" w:cstheme="minorHAnsi"/>
          <w:noProof/>
        </w:rPr>
      </w:pPr>
    </w:p>
    <w:p w14:paraId="599B0FF8" w14:textId="46BEB93B" w:rsidR="00180C42" w:rsidRDefault="0054225E" w:rsidP="00180C42">
      <w:pPr>
        <w:rPr>
          <w:rFonts w:asciiTheme="minorHAnsi" w:hAnsiTheme="minorHAnsi" w:cstheme="minorHAnsi"/>
          <w:i/>
          <w:iCs/>
          <w:noProof/>
        </w:rPr>
      </w:pPr>
      <w:r w:rsidRPr="0054225E">
        <w:rPr>
          <w:rFonts w:asciiTheme="minorHAnsi" w:hAnsiTheme="minorHAnsi" w:cstheme="minorHAnsi"/>
          <w:i/>
          <w:iCs/>
          <w:noProof/>
        </w:rPr>
        <w:t xml:space="preserve">This predominately field-based unit consists of 5 days on picturesque Maria Island on the Tasmanian East Coast. </w:t>
      </w:r>
      <w:r>
        <w:rPr>
          <w:rFonts w:asciiTheme="minorHAnsi" w:hAnsiTheme="minorHAnsi" w:cstheme="minorHAnsi"/>
          <w:i/>
          <w:iCs/>
          <w:noProof/>
        </w:rPr>
        <w:t xml:space="preserve"> </w:t>
      </w:r>
      <w:r w:rsidRPr="0054225E">
        <w:rPr>
          <w:rFonts w:asciiTheme="minorHAnsi" w:hAnsiTheme="minorHAnsi" w:cstheme="minorHAnsi"/>
          <w:i/>
          <w:iCs/>
          <w:noProof/>
        </w:rPr>
        <w:t>The unit is open to 24 students and is designed to engage, challenge, excite and inspire you through a hands-on marine science program. It will encourage you to explore issues threatening biodiversity as well as the productivity of the marine system. Climate change, invasive species, pollution, debris and their associated social and economic impacts will be covered.</w:t>
      </w:r>
    </w:p>
    <w:p w14:paraId="0C19F707" w14:textId="77777777" w:rsidR="0054225E" w:rsidRDefault="0054225E" w:rsidP="00180C42">
      <w:pPr>
        <w:rPr>
          <w:rFonts w:asciiTheme="minorHAnsi" w:hAnsiTheme="minorHAnsi" w:cstheme="minorHAnsi"/>
          <w:i/>
          <w:iCs/>
          <w:noProof/>
        </w:rPr>
      </w:pPr>
    </w:p>
    <w:p w14:paraId="7C164F63" w14:textId="6E1C8E14" w:rsidR="0054225E" w:rsidRPr="0054225E" w:rsidRDefault="0054225E" w:rsidP="0054225E">
      <w:pPr>
        <w:rPr>
          <w:rFonts w:asciiTheme="minorHAnsi" w:hAnsiTheme="minorHAnsi" w:cstheme="minorHAnsi"/>
          <w:noProof/>
        </w:rPr>
      </w:pPr>
      <w:r w:rsidRPr="0054225E">
        <w:rPr>
          <w:rFonts w:asciiTheme="minorHAnsi" w:hAnsiTheme="minorHAnsi" w:cstheme="minorHAnsi"/>
          <w:noProof/>
        </w:rPr>
        <w:t>The field trip contribution fee of $525 covers the following:</w:t>
      </w:r>
      <w:r w:rsidR="00276EEB">
        <w:rPr>
          <w:rFonts w:asciiTheme="minorHAnsi" w:hAnsiTheme="minorHAnsi" w:cstheme="minorHAnsi"/>
          <w:noProof/>
        </w:rPr>
        <w:br/>
      </w:r>
    </w:p>
    <w:p w14:paraId="7EF07C93" w14:textId="77777777" w:rsidR="0054225E" w:rsidRPr="0054225E" w:rsidRDefault="0054225E" w:rsidP="0054225E">
      <w:pPr>
        <w:numPr>
          <w:ilvl w:val="0"/>
          <w:numId w:val="16"/>
        </w:numPr>
        <w:rPr>
          <w:rFonts w:asciiTheme="minorHAnsi" w:hAnsiTheme="minorHAnsi" w:cstheme="minorHAnsi"/>
          <w:noProof/>
        </w:rPr>
      </w:pPr>
      <w:r w:rsidRPr="0054225E">
        <w:rPr>
          <w:rFonts w:asciiTheme="minorHAnsi" w:hAnsiTheme="minorHAnsi" w:cstheme="minorHAnsi"/>
          <w:noProof/>
        </w:rPr>
        <w:t>Hobart airport transfers**</w:t>
      </w:r>
    </w:p>
    <w:p w14:paraId="6AE81E18" w14:textId="77777777" w:rsidR="0054225E" w:rsidRPr="0054225E" w:rsidRDefault="0054225E" w:rsidP="0054225E">
      <w:pPr>
        <w:numPr>
          <w:ilvl w:val="0"/>
          <w:numId w:val="16"/>
        </w:numPr>
        <w:rPr>
          <w:rFonts w:asciiTheme="minorHAnsi" w:hAnsiTheme="minorHAnsi" w:cstheme="minorHAnsi"/>
          <w:noProof/>
        </w:rPr>
      </w:pPr>
      <w:r w:rsidRPr="0054225E">
        <w:rPr>
          <w:rFonts w:asciiTheme="minorHAnsi" w:hAnsiTheme="minorHAnsi" w:cstheme="minorHAnsi"/>
          <w:noProof/>
        </w:rPr>
        <w:t>Your accommodation in Hobart on the first and last night***</w:t>
      </w:r>
    </w:p>
    <w:p w14:paraId="65D760F3" w14:textId="77777777" w:rsidR="0054225E" w:rsidRPr="0054225E" w:rsidRDefault="0054225E" w:rsidP="0054225E">
      <w:pPr>
        <w:numPr>
          <w:ilvl w:val="0"/>
          <w:numId w:val="16"/>
        </w:numPr>
        <w:rPr>
          <w:rFonts w:asciiTheme="minorHAnsi" w:hAnsiTheme="minorHAnsi" w:cstheme="minorHAnsi"/>
          <w:noProof/>
        </w:rPr>
      </w:pPr>
      <w:r w:rsidRPr="0054225E">
        <w:rPr>
          <w:rFonts w:asciiTheme="minorHAnsi" w:hAnsiTheme="minorHAnsi" w:cstheme="minorHAnsi"/>
          <w:noProof/>
        </w:rPr>
        <w:t>Your transport from IMAS in Hobart to Maria Island and return</w:t>
      </w:r>
    </w:p>
    <w:p w14:paraId="12AF2937" w14:textId="77777777" w:rsidR="0054225E" w:rsidRPr="0054225E" w:rsidRDefault="0054225E" w:rsidP="0054225E">
      <w:pPr>
        <w:numPr>
          <w:ilvl w:val="0"/>
          <w:numId w:val="16"/>
        </w:numPr>
        <w:rPr>
          <w:rFonts w:asciiTheme="minorHAnsi" w:hAnsiTheme="minorHAnsi" w:cstheme="minorHAnsi"/>
          <w:noProof/>
        </w:rPr>
      </w:pPr>
      <w:r w:rsidRPr="0054225E">
        <w:rPr>
          <w:rFonts w:asciiTheme="minorHAnsi" w:hAnsiTheme="minorHAnsi" w:cstheme="minorHAnsi"/>
          <w:noProof/>
        </w:rPr>
        <w:t>Accommodation on Maria Island</w:t>
      </w:r>
    </w:p>
    <w:p w14:paraId="64CCDBC6" w14:textId="77777777" w:rsidR="0054225E" w:rsidRPr="0054225E" w:rsidRDefault="0054225E" w:rsidP="0054225E">
      <w:pPr>
        <w:numPr>
          <w:ilvl w:val="0"/>
          <w:numId w:val="16"/>
        </w:numPr>
        <w:rPr>
          <w:rFonts w:asciiTheme="minorHAnsi" w:hAnsiTheme="minorHAnsi" w:cstheme="minorHAnsi"/>
          <w:noProof/>
        </w:rPr>
      </w:pPr>
      <w:r w:rsidRPr="0054225E">
        <w:rPr>
          <w:rFonts w:asciiTheme="minorHAnsi" w:hAnsiTheme="minorHAnsi" w:cstheme="minorHAnsi"/>
          <w:noProof/>
        </w:rPr>
        <w:t>Hire of all required diving and survey gear</w:t>
      </w:r>
    </w:p>
    <w:p w14:paraId="22182EFF" w14:textId="77777777" w:rsidR="0054225E" w:rsidRPr="0054225E" w:rsidRDefault="0054225E" w:rsidP="0054225E">
      <w:pPr>
        <w:numPr>
          <w:ilvl w:val="0"/>
          <w:numId w:val="16"/>
        </w:numPr>
        <w:rPr>
          <w:rFonts w:asciiTheme="minorHAnsi" w:hAnsiTheme="minorHAnsi" w:cstheme="minorHAnsi"/>
          <w:noProof/>
        </w:rPr>
      </w:pPr>
      <w:r w:rsidRPr="0054225E">
        <w:rPr>
          <w:rFonts w:asciiTheme="minorHAnsi" w:hAnsiTheme="minorHAnsi" w:cstheme="minorHAnsi"/>
          <w:noProof/>
        </w:rPr>
        <w:t>All your meals</w:t>
      </w:r>
    </w:p>
    <w:p w14:paraId="6F407940" w14:textId="6879C6A8" w:rsidR="00180C42" w:rsidRDefault="00266E5C" w:rsidP="00180C42">
      <w:pPr>
        <w:rPr>
          <w:rFonts w:asciiTheme="minorHAnsi" w:hAnsiTheme="minorHAnsi" w:cstheme="minorHAnsi"/>
          <w:noProof/>
        </w:rPr>
      </w:pPr>
      <w:r>
        <w:rPr>
          <w:rFonts w:asciiTheme="minorHAnsi" w:hAnsiTheme="minorHAnsi" w:cstheme="minorHAnsi"/>
          <w:noProof/>
        </w:rPr>
        <w:br/>
      </w:r>
      <w:r w:rsidRPr="00266E5C">
        <w:rPr>
          <w:rFonts w:asciiTheme="minorHAnsi" w:hAnsiTheme="minorHAnsi" w:cstheme="minorHAnsi"/>
          <w:noProof/>
        </w:rPr>
        <w:t xml:space="preserve">* </w:t>
      </w:r>
      <w:r w:rsidRPr="00266E5C">
        <w:rPr>
          <w:rFonts w:asciiTheme="minorHAnsi" w:hAnsiTheme="minorHAnsi" w:cstheme="minorHAnsi"/>
          <w:noProof/>
          <w:sz w:val="18"/>
          <w:szCs w:val="18"/>
        </w:rPr>
        <w:t xml:space="preserve">The information and fee are based on the 2025 course. Please note that the fee and details may change for the 2026 </w:t>
      </w:r>
      <w:r>
        <w:rPr>
          <w:rFonts w:asciiTheme="minorHAnsi" w:hAnsiTheme="minorHAnsi" w:cstheme="minorHAnsi"/>
          <w:noProof/>
          <w:sz w:val="18"/>
          <w:szCs w:val="18"/>
        </w:rPr>
        <w:br/>
        <w:t xml:space="preserve">    </w:t>
      </w:r>
      <w:r w:rsidRPr="00266E5C">
        <w:rPr>
          <w:rFonts w:asciiTheme="minorHAnsi" w:hAnsiTheme="minorHAnsi" w:cstheme="minorHAnsi"/>
          <w:noProof/>
          <w:sz w:val="18"/>
          <w:szCs w:val="18"/>
        </w:rPr>
        <w:t>course.</w:t>
      </w:r>
      <w:r w:rsidRPr="00266E5C">
        <w:rPr>
          <w:rFonts w:asciiTheme="minorHAnsi" w:hAnsiTheme="minorHAnsi" w:cstheme="minorHAnsi"/>
          <w:noProof/>
        </w:rPr>
        <w:br/>
        <w:t>**</w:t>
      </w:r>
      <w:r w:rsidRPr="00266E5C">
        <w:rPr>
          <w:rFonts w:asciiTheme="minorHAnsi" w:hAnsiTheme="minorHAnsi" w:cstheme="minorHAnsi"/>
          <w:noProof/>
          <w:sz w:val="18"/>
          <w:szCs w:val="18"/>
        </w:rPr>
        <w:t>For interstate students only.</w:t>
      </w:r>
      <w:r w:rsidRPr="00266E5C">
        <w:rPr>
          <w:rFonts w:asciiTheme="minorHAnsi" w:hAnsiTheme="minorHAnsi" w:cstheme="minorHAnsi"/>
          <w:noProof/>
          <w:sz w:val="18"/>
          <w:szCs w:val="18"/>
        </w:rPr>
        <w:br/>
      </w:r>
      <w:r w:rsidRPr="00266E5C">
        <w:rPr>
          <w:rFonts w:asciiTheme="minorHAnsi" w:hAnsiTheme="minorHAnsi" w:cstheme="minorHAnsi"/>
          <w:noProof/>
        </w:rPr>
        <w:t>***</w:t>
      </w:r>
      <w:r w:rsidRPr="00266E5C">
        <w:rPr>
          <w:rFonts w:asciiTheme="minorHAnsi" w:hAnsiTheme="minorHAnsi" w:cstheme="minorHAnsi"/>
          <w:noProof/>
          <w:sz w:val="18"/>
          <w:szCs w:val="18"/>
        </w:rPr>
        <w:t>Accommodation on the first and last night is included only for students living 30 minutes or more by car from Hobart.</w:t>
      </w:r>
      <w:r w:rsidRPr="00266E5C">
        <w:rPr>
          <w:rFonts w:asciiTheme="minorHAnsi" w:hAnsiTheme="minorHAnsi" w:cstheme="minorHAnsi"/>
          <w:noProof/>
          <w:sz w:val="18"/>
          <w:szCs w:val="18"/>
        </w:rPr>
        <w:br/>
      </w:r>
    </w:p>
    <w:p w14:paraId="6424163F" w14:textId="68A07104" w:rsidR="00180C42" w:rsidRPr="00C80711" w:rsidRDefault="00C80711" w:rsidP="00180C42">
      <w:pPr>
        <w:rPr>
          <w:rFonts w:asciiTheme="minorHAnsi" w:hAnsiTheme="minorHAnsi" w:cstheme="minorHAnsi"/>
          <w:b/>
          <w:bCs/>
          <w:noProof/>
        </w:rPr>
      </w:pPr>
      <w:r>
        <w:rPr>
          <w:rFonts w:asciiTheme="minorHAnsi" w:hAnsiTheme="minorHAnsi" w:cstheme="minorHAnsi"/>
          <w:b/>
          <w:bCs/>
          <w:noProof/>
        </w:rPr>
        <w:t xml:space="preserve">To find out more, and to register your interest, visit </w:t>
      </w:r>
      <w:hyperlink r:id="rId40" w:history="1">
        <w:r w:rsidR="00276EEB">
          <w:rPr>
            <w:rStyle w:val="Hyperlink"/>
            <w:rFonts w:asciiTheme="minorHAnsi" w:hAnsiTheme="minorHAnsi" w:cstheme="minorHAnsi"/>
            <w:b/>
            <w:bCs/>
            <w:noProof/>
          </w:rPr>
          <w:t>Maria Island Marine Biology Experience</w:t>
        </w:r>
      </w:hyperlink>
      <w:r w:rsidR="00276EEB">
        <w:rPr>
          <w:rFonts w:asciiTheme="minorHAnsi" w:hAnsiTheme="minorHAnsi" w:cstheme="minorHAnsi"/>
          <w:b/>
          <w:bCs/>
          <w:noProof/>
        </w:rPr>
        <w:t>.</w:t>
      </w:r>
      <w:r>
        <w:rPr>
          <w:rFonts w:asciiTheme="minorHAnsi" w:hAnsiTheme="minorHAnsi" w:cstheme="minorHAnsi"/>
          <w:b/>
          <w:bCs/>
          <w:noProof/>
        </w:rPr>
        <w:t xml:space="preserve"> </w:t>
      </w:r>
    </w:p>
    <w:p w14:paraId="5DAD0C1D" w14:textId="24BD3830" w:rsidR="00180C42" w:rsidRPr="00C02259" w:rsidRDefault="00180C42" w:rsidP="00180C42">
      <w:pPr>
        <w:pStyle w:val="NoSpacing"/>
        <w:rPr>
          <w:bCs/>
          <w:sz w:val="24"/>
          <w:szCs w:val="24"/>
        </w:rPr>
      </w:pPr>
    </w:p>
    <w:p w14:paraId="357A7968" w14:textId="75ED1305" w:rsidR="003748A8" w:rsidRDefault="003748A8">
      <w:pPr>
        <w:rPr>
          <w:rFonts w:asciiTheme="minorHAnsi" w:eastAsia="Calibri" w:hAnsiTheme="minorHAnsi" w:cstheme="minorHAnsi"/>
          <w:b/>
        </w:rPr>
      </w:pPr>
      <w:r>
        <w:rPr>
          <w:rFonts w:asciiTheme="minorHAnsi" w:hAnsiTheme="minorHAnsi" w:cstheme="minorHAnsi"/>
          <w:b/>
        </w:rPr>
        <w:br w:type="page"/>
      </w:r>
    </w:p>
    <w:p w14:paraId="614D10E5" w14:textId="64DBF5A0" w:rsidR="00F76826" w:rsidRDefault="00F76826">
      <w:pPr>
        <w:rPr>
          <w:rFonts w:ascii="Calibri" w:hAnsi="Calibri" w:cs="Calibri"/>
          <w:b/>
          <w:sz w:val="28"/>
          <w:u w:val="single"/>
        </w:rPr>
      </w:pPr>
      <w:r w:rsidRPr="00F76826">
        <w:rPr>
          <w:rFonts w:ascii="Calibri" w:hAnsi="Calibri" w:cs="Calibri"/>
          <w:b/>
          <w:noProof/>
          <w:sz w:val="28"/>
        </w:rPr>
        <w:lastRenderedPageBreak/>
        <w:drawing>
          <wp:inline distT="0" distB="0" distL="0" distR="0" wp14:anchorId="656AE872" wp14:editId="34667559">
            <wp:extent cx="5731510" cy="8457565"/>
            <wp:effectExtent l="0" t="0" r="2540" b="635"/>
            <wp:docPr id="121016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6828" name=""/>
                    <pic:cNvPicPr/>
                  </pic:nvPicPr>
                  <pic:blipFill>
                    <a:blip r:embed="rId41"/>
                    <a:stretch>
                      <a:fillRect/>
                    </a:stretch>
                  </pic:blipFill>
                  <pic:spPr>
                    <a:xfrm>
                      <a:off x="0" y="0"/>
                      <a:ext cx="5731510" cy="8457565"/>
                    </a:xfrm>
                    <a:prstGeom prst="rect">
                      <a:avLst/>
                    </a:prstGeom>
                  </pic:spPr>
                </pic:pic>
              </a:graphicData>
            </a:graphic>
          </wp:inline>
        </w:drawing>
      </w:r>
      <w:r>
        <w:rPr>
          <w:rFonts w:ascii="Calibri" w:hAnsi="Calibri" w:cs="Calibri"/>
          <w:b/>
          <w:sz w:val="28"/>
          <w:u w:val="single"/>
        </w:rPr>
        <w:br w:type="page"/>
      </w:r>
    </w:p>
    <w:p w14:paraId="01FC4846" w14:textId="40DFB5C5" w:rsidR="003748A8" w:rsidRPr="00F107ED" w:rsidRDefault="003748A8" w:rsidP="003748A8">
      <w:pPr>
        <w:rPr>
          <w:rFonts w:ascii="Calibri" w:hAnsi="Calibri" w:cs="Calibri"/>
          <w:b/>
          <w:bCs/>
          <w:sz w:val="6"/>
          <w:szCs w:val="6"/>
          <w:u w:val="single"/>
        </w:rPr>
      </w:pPr>
      <w:r w:rsidRPr="00F107ED">
        <w:rPr>
          <w:rFonts w:ascii="Calibri" w:hAnsi="Calibri" w:cs="Calibri"/>
          <w:b/>
          <w:noProof/>
          <w:sz w:val="28"/>
          <w:u w:val="single"/>
          <w:lang w:eastAsia="zh-CN"/>
        </w:rPr>
        <w:lastRenderedPageBreak/>
        <w:drawing>
          <wp:inline distT="0" distB="0" distL="0" distR="0" wp14:anchorId="2BEEEFED" wp14:editId="71ECB63E">
            <wp:extent cx="514350" cy="514350"/>
            <wp:effectExtent l="0" t="0" r="0" b="0"/>
            <wp:docPr id="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sidRPr="00F107ED">
        <w:rPr>
          <w:rFonts w:ascii="Calibri" w:hAnsi="Calibri" w:cs="Calibri"/>
          <w:b/>
          <w:sz w:val="28"/>
          <w:u w:val="single"/>
        </w:rPr>
        <w:t>Anima</w:t>
      </w:r>
      <w:bookmarkStart w:id="1" w:name="Animation"/>
      <w:bookmarkEnd w:id="1"/>
      <w:r w:rsidRPr="00F107ED">
        <w:rPr>
          <w:rFonts w:ascii="Calibri" w:hAnsi="Calibri" w:cs="Calibri"/>
          <w:b/>
          <w:sz w:val="28"/>
          <w:u w:val="single"/>
        </w:rPr>
        <w:t xml:space="preserve">tion &amp; Gaming Degrees </w:t>
      </w:r>
      <w:r>
        <w:rPr>
          <w:rFonts w:ascii="Calibri" w:hAnsi="Calibri" w:cs="Calibri"/>
          <w:b/>
          <w:sz w:val="28"/>
          <w:u w:val="single"/>
        </w:rPr>
        <w:t xml:space="preserve">in Victoria in </w:t>
      </w:r>
      <w:r w:rsidRPr="00F107ED">
        <w:rPr>
          <w:rFonts w:ascii="Calibri" w:hAnsi="Calibri" w:cs="Calibri"/>
          <w:b/>
          <w:sz w:val="28"/>
          <w:u w:val="single"/>
        </w:rPr>
        <w:t xml:space="preserve">2026 </w:t>
      </w:r>
      <w:r w:rsidRPr="00F107ED">
        <w:rPr>
          <w:rFonts w:ascii="Calibri" w:hAnsi="Calibri" w:cs="Calibri"/>
          <w:b/>
          <w:sz w:val="28"/>
          <w:u w:val="single"/>
        </w:rPr>
        <w:br/>
      </w:r>
      <w:r w:rsidRPr="00F107ED">
        <w:rPr>
          <w:rFonts w:ascii="Calibri" w:hAnsi="Calibri" w:cs="Calibri"/>
          <w:sz w:val="22"/>
          <w:szCs w:val="22"/>
        </w:rPr>
        <w:t xml:space="preserve">Animation and games design courses offer students a range of opportunities to be exposed to, and develop their skills in, subjects such as </w:t>
      </w:r>
      <w:r w:rsidRPr="00F107ED">
        <w:rPr>
          <w:rFonts w:ascii="Calibri" w:hAnsi="Calibri" w:cs="Calibri"/>
          <w:i/>
          <w:sz w:val="22"/>
          <w:szCs w:val="22"/>
        </w:rPr>
        <w:t>computer coding, computer programming, broad IT skills, simulation and modelling, computer-based 2D and 3D, interactive information design, and virtual environments,</w:t>
      </w:r>
      <w:r w:rsidRPr="00F107ED">
        <w:rPr>
          <w:rFonts w:ascii="Calibri" w:hAnsi="Calibri" w:cs="Calibri"/>
          <w:sz w:val="22"/>
          <w:szCs w:val="22"/>
        </w:rPr>
        <w:t xml:space="preserve"> to name but a few.  </w:t>
      </w:r>
      <w:r w:rsidRPr="00F107ED">
        <w:rPr>
          <w:rFonts w:ascii="Calibri" w:hAnsi="Calibri" w:cs="Calibri"/>
          <w:sz w:val="22"/>
          <w:szCs w:val="22"/>
        </w:rPr>
        <w:br/>
        <w:t xml:space="preserve">Below is a list of some undergraduate degrees offered at Victorian Universities and a few Private Institutions.   </w:t>
      </w:r>
      <w:r w:rsidRPr="00F107ED">
        <w:rPr>
          <w:rFonts w:ascii="Calibri" w:hAnsi="Calibri" w:cs="Calibri"/>
          <w:sz w:val="22"/>
          <w:szCs w:val="22"/>
        </w:rPr>
        <w:br/>
      </w:r>
      <w:r w:rsidRPr="00F107ED">
        <w:rPr>
          <w:rFonts w:ascii="Calibri" w:hAnsi="Calibri" w:cs="Calibri"/>
          <w:b/>
          <w:bCs/>
        </w:rPr>
        <w:t>For a comprehensive list of courses (including the many double-degree options) on offer at Victorian universities, TAFEs, and Private Providers, visit</w:t>
      </w:r>
      <w:r w:rsidRPr="00F107ED">
        <w:rPr>
          <w:rFonts w:ascii="Calibri" w:hAnsi="Calibri" w:cs="Calibri"/>
          <w:bCs/>
        </w:rPr>
        <w:t xml:space="preserve"> </w:t>
      </w:r>
      <w:hyperlink r:id="rId43" w:history="1">
        <w:r w:rsidRPr="00F107ED">
          <w:rPr>
            <w:rStyle w:val="Hyperlink"/>
            <w:rFonts w:ascii="Calibri" w:hAnsi="Calibri" w:cs="Calibri"/>
            <w:b/>
            <w:bCs/>
          </w:rPr>
          <w:t>VTAC</w:t>
        </w:r>
      </w:hyperlink>
      <w:r w:rsidRPr="00F107ED">
        <w:rPr>
          <w:rFonts w:ascii="Calibri" w:hAnsi="Calibri" w:cs="Calibri"/>
          <w:b/>
          <w:bCs/>
          <w:u w:val="single"/>
        </w:rPr>
        <w:t>.</w:t>
      </w:r>
      <w:r w:rsidRPr="006F3057">
        <w:rPr>
          <w:rFonts w:ascii="Calibri" w:hAnsi="Calibri" w:cs="Calibri"/>
          <w:b/>
          <w:bCs/>
          <w:highlight w:val="yellow"/>
          <w:u w:val="single"/>
        </w:rPr>
        <w:br/>
      </w: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2428"/>
        <w:gridCol w:w="2455"/>
        <w:gridCol w:w="4810"/>
      </w:tblGrid>
      <w:tr w:rsidR="003748A8" w:rsidRPr="00F107ED" w14:paraId="0261AF91" w14:textId="77777777" w:rsidTr="003748A8">
        <w:trPr>
          <w:trHeight w:val="228"/>
          <w:jc w:val="center"/>
        </w:trPr>
        <w:tc>
          <w:tcPr>
            <w:tcW w:w="1491" w:type="dxa"/>
            <w:shd w:val="clear" w:color="auto" w:fill="92D050"/>
          </w:tcPr>
          <w:bookmarkEnd w:id="0"/>
          <w:p w14:paraId="466D5FA6" w14:textId="5EA16F2E" w:rsidR="003748A8" w:rsidRPr="00F107ED" w:rsidRDefault="003748A8" w:rsidP="0098467A">
            <w:pPr>
              <w:jc w:val="center"/>
              <w:rPr>
                <w:rFonts w:ascii="Calibri" w:hAnsi="Calibri"/>
                <w:b/>
                <w:sz w:val="22"/>
                <w:lang w:eastAsia="zh-CN"/>
              </w:rPr>
            </w:pPr>
            <w:r w:rsidRPr="00F107ED">
              <w:rPr>
                <w:rFonts w:ascii="Calibri" w:hAnsi="Calibri"/>
                <w:b/>
                <w:sz w:val="22"/>
                <w:lang w:eastAsia="zh-CN"/>
              </w:rPr>
              <w:t>INSTITUTION</w:t>
            </w:r>
          </w:p>
        </w:tc>
        <w:tc>
          <w:tcPr>
            <w:tcW w:w="2428" w:type="dxa"/>
            <w:shd w:val="clear" w:color="auto" w:fill="92D050"/>
          </w:tcPr>
          <w:p w14:paraId="6CFB4250" w14:textId="77777777" w:rsidR="003748A8" w:rsidRPr="00F107ED" w:rsidRDefault="003748A8" w:rsidP="0098467A">
            <w:pPr>
              <w:jc w:val="center"/>
              <w:rPr>
                <w:rFonts w:ascii="Calibri" w:hAnsi="Calibri"/>
                <w:b/>
                <w:sz w:val="22"/>
                <w:lang w:eastAsia="zh-CN"/>
              </w:rPr>
            </w:pPr>
            <w:r w:rsidRPr="00F107ED">
              <w:rPr>
                <w:rFonts w:ascii="Calibri" w:hAnsi="Calibri"/>
                <w:b/>
                <w:sz w:val="22"/>
                <w:lang w:eastAsia="zh-CN"/>
              </w:rPr>
              <w:t>COURSE NAME</w:t>
            </w:r>
          </w:p>
        </w:tc>
        <w:tc>
          <w:tcPr>
            <w:tcW w:w="2455" w:type="dxa"/>
            <w:shd w:val="clear" w:color="auto" w:fill="92D050"/>
          </w:tcPr>
          <w:p w14:paraId="7E2BF430" w14:textId="77777777" w:rsidR="003748A8" w:rsidRPr="00F107ED" w:rsidRDefault="003748A8" w:rsidP="0098467A">
            <w:pPr>
              <w:jc w:val="center"/>
              <w:rPr>
                <w:rFonts w:ascii="Calibri" w:hAnsi="Calibri"/>
                <w:b/>
                <w:sz w:val="22"/>
                <w:lang w:eastAsia="zh-CN"/>
              </w:rPr>
            </w:pPr>
            <w:r w:rsidRPr="00F107ED">
              <w:rPr>
                <w:rFonts w:ascii="Calibri" w:hAnsi="Calibri"/>
                <w:b/>
                <w:sz w:val="22"/>
                <w:lang w:eastAsia="zh-CN"/>
              </w:rPr>
              <w:t>VCE PREREQ’S</w:t>
            </w:r>
          </w:p>
        </w:tc>
        <w:tc>
          <w:tcPr>
            <w:tcW w:w="4810" w:type="dxa"/>
            <w:shd w:val="clear" w:color="auto" w:fill="92D050"/>
          </w:tcPr>
          <w:p w14:paraId="7743E2D3" w14:textId="77777777" w:rsidR="003748A8" w:rsidRPr="00F107ED" w:rsidRDefault="003748A8" w:rsidP="0098467A">
            <w:pPr>
              <w:jc w:val="center"/>
              <w:rPr>
                <w:rFonts w:ascii="Calibri" w:hAnsi="Calibri"/>
                <w:b/>
                <w:sz w:val="22"/>
                <w:lang w:eastAsia="zh-CN"/>
              </w:rPr>
            </w:pPr>
            <w:r w:rsidRPr="00F107ED">
              <w:rPr>
                <w:rFonts w:ascii="Calibri" w:hAnsi="Calibri"/>
                <w:b/>
                <w:sz w:val="22"/>
                <w:lang w:eastAsia="zh-CN"/>
              </w:rPr>
              <w:t>MAJOR STUDIES IN 2026</w:t>
            </w:r>
          </w:p>
        </w:tc>
      </w:tr>
      <w:tr w:rsidR="003748A8" w:rsidRPr="006F3057" w14:paraId="7D80B3D6" w14:textId="77777777" w:rsidTr="003748A8">
        <w:trPr>
          <w:trHeight w:val="811"/>
          <w:jc w:val="center"/>
        </w:trPr>
        <w:tc>
          <w:tcPr>
            <w:tcW w:w="1491" w:type="dxa"/>
            <w:shd w:val="clear" w:color="auto" w:fill="2F5496"/>
          </w:tcPr>
          <w:p w14:paraId="78990B57" w14:textId="77777777" w:rsidR="003748A8" w:rsidRPr="00EA2F37" w:rsidRDefault="003748A8" w:rsidP="0098467A">
            <w:pPr>
              <w:jc w:val="center"/>
              <w:rPr>
                <w:rFonts w:ascii="Calibri" w:hAnsi="Calibri"/>
                <w:b/>
                <w:color w:val="FFFFFF"/>
                <w:sz w:val="22"/>
                <w:lang w:eastAsia="zh-CN"/>
              </w:rPr>
            </w:pPr>
            <w:r w:rsidRPr="00EA2F37">
              <w:rPr>
                <w:rFonts w:ascii="Calibri" w:hAnsi="Calibri"/>
                <w:b/>
                <w:color w:val="FFFFFF"/>
                <w:sz w:val="22"/>
                <w:lang w:eastAsia="zh-CN"/>
              </w:rPr>
              <w:t>DEAKIN</w:t>
            </w:r>
          </w:p>
        </w:tc>
        <w:tc>
          <w:tcPr>
            <w:tcW w:w="2428" w:type="dxa"/>
          </w:tcPr>
          <w:p w14:paraId="2254F542" w14:textId="77777777" w:rsidR="003748A8" w:rsidRPr="00EA2F37" w:rsidRDefault="003748A8" w:rsidP="0098467A">
            <w:pPr>
              <w:jc w:val="center"/>
              <w:rPr>
                <w:rFonts w:ascii="Calibri" w:hAnsi="Calibri"/>
                <w:sz w:val="22"/>
                <w:lang w:eastAsia="zh-CN"/>
              </w:rPr>
            </w:pPr>
            <w:hyperlink r:id="rId44" w:history="1">
              <w:r w:rsidRPr="00EA2F37">
                <w:rPr>
                  <w:rStyle w:val="Hyperlink"/>
                  <w:rFonts w:ascii="Calibri" w:hAnsi="Calibri"/>
                  <w:sz w:val="22"/>
                  <w:lang w:eastAsia="zh-CN"/>
                </w:rPr>
                <w:t>Film, Television and Animation</w:t>
              </w:r>
            </w:hyperlink>
          </w:p>
        </w:tc>
        <w:tc>
          <w:tcPr>
            <w:tcW w:w="2455" w:type="dxa"/>
          </w:tcPr>
          <w:p w14:paraId="305197B4" w14:textId="77777777" w:rsidR="003748A8" w:rsidRPr="00EA2F37" w:rsidRDefault="003748A8" w:rsidP="0098467A">
            <w:pPr>
              <w:rPr>
                <w:rFonts w:ascii="Calibri" w:hAnsi="Calibri"/>
                <w:sz w:val="16"/>
                <w:lang w:eastAsia="zh-CN"/>
              </w:rPr>
            </w:pPr>
            <w:r w:rsidRPr="00EA2F37">
              <w:rPr>
                <w:rFonts w:ascii="Calibri" w:hAnsi="Calibri"/>
                <w:sz w:val="16"/>
                <w:lang w:eastAsia="zh-CN"/>
              </w:rPr>
              <w:t>Units 3 and 4: a study score of at least 25 in English (EAL) or at least 20 in English other than EAL.</w:t>
            </w:r>
          </w:p>
          <w:p w14:paraId="4535AD1B" w14:textId="77777777" w:rsidR="003748A8" w:rsidRPr="00EA2F37" w:rsidRDefault="003748A8" w:rsidP="0098467A">
            <w:pPr>
              <w:rPr>
                <w:rFonts w:ascii="Calibri" w:hAnsi="Calibri"/>
                <w:sz w:val="16"/>
                <w:lang w:eastAsia="zh-CN"/>
              </w:rPr>
            </w:pPr>
          </w:p>
        </w:tc>
        <w:tc>
          <w:tcPr>
            <w:tcW w:w="4810" w:type="dxa"/>
          </w:tcPr>
          <w:p w14:paraId="373EC10C" w14:textId="77777777" w:rsidR="003748A8" w:rsidRPr="00EA2F37" w:rsidRDefault="003748A8" w:rsidP="0098467A">
            <w:pPr>
              <w:rPr>
                <w:rFonts w:ascii="Calibri" w:hAnsi="Calibri"/>
                <w:sz w:val="16"/>
                <w:highlight w:val="yellow"/>
                <w:lang w:eastAsia="zh-CN"/>
              </w:rPr>
            </w:pPr>
            <w:r w:rsidRPr="00EA2F37">
              <w:rPr>
                <w:rFonts w:ascii="Calibri" w:hAnsi="Calibri"/>
                <w:b/>
                <w:bCs/>
                <w:sz w:val="16"/>
                <w:lang w:eastAsia="zh-CN"/>
              </w:rPr>
              <w:t>Animation (major only), Animation and motion graphic (minor only)</w:t>
            </w:r>
            <w:r w:rsidRPr="00EA2F37">
              <w:rPr>
                <w:rFonts w:ascii="Calibri" w:hAnsi="Calibri"/>
                <w:sz w:val="16"/>
                <w:lang w:eastAsia="zh-CN"/>
              </w:rPr>
              <w:t>, Film studies (minor only), Screen content production (minor only), Screen development, Screen production (major only), Scriptwriting (minor only), Visual effects and virtual production (minor only).</w:t>
            </w:r>
          </w:p>
        </w:tc>
      </w:tr>
      <w:tr w:rsidR="003748A8" w:rsidRPr="006F3057" w14:paraId="45FCDB9A" w14:textId="77777777" w:rsidTr="003748A8">
        <w:trPr>
          <w:trHeight w:val="988"/>
          <w:jc w:val="center"/>
        </w:trPr>
        <w:tc>
          <w:tcPr>
            <w:tcW w:w="1491" w:type="dxa"/>
            <w:shd w:val="clear" w:color="auto" w:fill="2F5496"/>
          </w:tcPr>
          <w:p w14:paraId="4D8007B6" w14:textId="77777777" w:rsidR="003748A8" w:rsidRPr="00EA2F37" w:rsidRDefault="003748A8" w:rsidP="0098467A">
            <w:pPr>
              <w:jc w:val="center"/>
              <w:rPr>
                <w:rFonts w:ascii="Calibri" w:hAnsi="Calibri"/>
                <w:b/>
                <w:color w:val="FFFFFF"/>
                <w:sz w:val="22"/>
                <w:lang w:eastAsia="zh-CN"/>
              </w:rPr>
            </w:pPr>
            <w:r w:rsidRPr="00EA2F37">
              <w:rPr>
                <w:rFonts w:ascii="Calibri" w:hAnsi="Calibri"/>
                <w:b/>
                <w:color w:val="FFFFFF"/>
                <w:sz w:val="22"/>
                <w:lang w:eastAsia="zh-CN"/>
              </w:rPr>
              <w:t>JMC ACADEMY</w:t>
            </w:r>
          </w:p>
        </w:tc>
        <w:tc>
          <w:tcPr>
            <w:tcW w:w="2428" w:type="dxa"/>
          </w:tcPr>
          <w:p w14:paraId="43B4AB68" w14:textId="77777777" w:rsidR="003748A8" w:rsidRPr="00EA2F37" w:rsidRDefault="003748A8" w:rsidP="0098467A">
            <w:pPr>
              <w:jc w:val="center"/>
              <w:rPr>
                <w:rFonts w:asciiTheme="minorHAnsi" w:hAnsiTheme="minorHAnsi" w:cstheme="minorHAnsi"/>
                <w:sz w:val="22"/>
                <w:szCs w:val="22"/>
              </w:rPr>
            </w:pPr>
            <w:hyperlink r:id="rId45" w:history="1">
              <w:r w:rsidRPr="00EA2F37">
                <w:rPr>
                  <w:rStyle w:val="Hyperlink"/>
                  <w:rFonts w:asciiTheme="minorHAnsi" w:hAnsiTheme="minorHAnsi" w:cstheme="minorHAnsi"/>
                  <w:sz w:val="22"/>
                  <w:szCs w:val="22"/>
                </w:rPr>
                <w:t>Creative Arts (Animation)</w:t>
              </w:r>
            </w:hyperlink>
          </w:p>
        </w:tc>
        <w:tc>
          <w:tcPr>
            <w:tcW w:w="2455" w:type="dxa"/>
          </w:tcPr>
          <w:p w14:paraId="052089E7" w14:textId="77777777" w:rsidR="003748A8" w:rsidRPr="00EA2F37" w:rsidRDefault="003748A8" w:rsidP="0098467A">
            <w:pPr>
              <w:rPr>
                <w:rFonts w:ascii="Calibri" w:hAnsi="Calibri"/>
                <w:sz w:val="16"/>
                <w:lang w:eastAsia="zh-CN"/>
              </w:rPr>
            </w:pPr>
            <w:r w:rsidRPr="00EA2F37">
              <w:rPr>
                <w:rFonts w:ascii="Calibri" w:hAnsi="Calibri"/>
                <w:sz w:val="16"/>
                <w:lang w:eastAsia="zh-CN"/>
              </w:rPr>
              <w:t>Satisfactory completion of a Year 12.</w:t>
            </w:r>
          </w:p>
        </w:tc>
        <w:tc>
          <w:tcPr>
            <w:tcW w:w="4810" w:type="dxa"/>
          </w:tcPr>
          <w:p w14:paraId="4C572395" w14:textId="77777777" w:rsidR="003748A8" w:rsidRPr="00EA2F37" w:rsidRDefault="003748A8" w:rsidP="0098467A">
            <w:pPr>
              <w:rPr>
                <w:rFonts w:ascii="Calibri" w:hAnsi="Calibri"/>
                <w:sz w:val="16"/>
                <w:lang w:eastAsia="zh-CN"/>
              </w:rPr>
            </w:pPr>
            <w:r w:rsidRPr="00EA2F37">
              <w:rPr>
                <w:rFonts w:ascii="Calibri" w:hAnsi="Calibri"/>
                <w:sz w:val="16"/>
                <w:lang w:eastAsia="zh-CN"/>
              </w:rPr>
              <w:t>Animation, Animation (2D), Animation (3D), Character Design, Compositing, Concept Art, Concept Development, Creative Process, Digital Art, Digital Sculpture, Modelling (3D), Motion Capture, Motion Design, Production Art, Professional + Industry Development, Rendering, Screen Literacy, Studio Skills, Traditional Animation (2D), Visual Narrative, Visual Storytelling.</w:t>
            </w:r>
          </w:p>
        </w:tc>
      </w:tr>
      <w:tr w:rsidR="003748A8" w:rsidRPr="006F3057" w14:paraId="77452828" w14:textId="77777777" w:rsidTr="003748A8">
        <w:trPr>
          <w:trHeight w:val="988"/>
          <w:jc w:val="center"/>
        </w:trPr>
        <w:tc>
          <w:tcPr>
            <w:tcW w:w="1491" w:type="dxa"/>
            <w:shd w:val="clear" w:color="auto" w:fill="2F5496"/>
          </w:tcPr>
          <w:p w14:paraId="10817FEF" w14:textId="77777777" w:rsidR="003748A8" w:rsidRPr="00EA2F37" w:rsidRDefault="003748A8" w:rsidP="0098467A">
            <w:pPr>
              <w:jc w:val="center"/>
              <w:rPr>
                <w:rFonts w:ascii="Calibri" w:hAnsi="Calibri"/>
                <w:b/>
                <w:color w:val="FFFFFF"/>
                <w:sz w:val="22"/>
                <w:lang w:eastAsia="zh-CN"/>
              </w:rPr>
            </w:pPr>
            <w:r w:rsidRPr="00EA2F37">
              <w:rPr>
                <w:rFonts w:ascii="Calibri" w:hAnsi="Calibri"/>
                <w:b/>
                <w:color w:val="FFFFFF"/>
                <w:sz w:val="22"/>
                <w:lang w:eastAsia="zh-CN"/>
              </w:rPr>
              <w:t>MONASH</w:t>
            </w:r>
          </w:p>
        </w:tc>
        <w:tc>
          <w:tcPr>
            <w:tcW w:w="2428" w:type="dxa"/>
          </w:tcPr>
          <w:p w14:paraId="5315B742" w14:textId="77777777" w:rsidR="003748A8" w:rsidRPr="00EA2F37" w:rsidRDefault="003748A8" w:rsidP="0098467A">
            <w:pPr>
              <w:jc w:val="center"/>
              <w:rPr>
                <w:rFonts w:ascii="Calibri" w:hAnsi="Calibri"/>
                <w:sz w:val="22"/>
                <w:lang w:eastAsia="zh-CN"/>
              </w:rPr>
            </w:pPr>
            <w:hyperlink r:id="rId46" w:history="1">
              <w:r w:rsidRPr="00EA2F37">
                <w:rPr>
                  <w:rStyle w:val="Hyperlink"/>
                  <w:rFonts w:ascii="Calibri" w:hAnsi="Calibri"/>
                  <w:sz w:val="22"/>
                  <w:lang w:eastAsia="zh-CN"/>
                </w:rPr>
                <w:t>Design</w:t>
              </w:r>
            </w:hyperlink>
          </w:p>
        </w:tc>
        <w:tc>
          <w:tcPr>
            <w:tcW w:w="2455" w:type="dxa"/>
          </w:tcPr>
          <w:p w14:paraId="03244B1A" w14:textId="77777777" w:rsidR="003748A8" w:rsidRPr="00ED099E" w:rsidRDefault="003748A8" w:rsidP="0098467A">
            <w:pPr>
              <w:rPr>
                <w:rFonts w:ascii="Calibri" w:hAnsi="Calibri"/>
                <w:sz w:val="16"/>
                <w:szCs w:val="18"/>
                <w:lang w:eastAsia="zh-CN"/>
              </w:rPr>
            </w:pPr>
            <w:r w:rsidRPr="00ED099E">
              <w:rPr>
                <w:rFonts w:ascii="Calibri" w:hAnsi="Calibri"/>
                <w:sz w:val="16"/>
                <w:szCs w:val="18"/>
                <w:lang w:eastAsia="zh-CN"/>
              </w:rPr>
              <w:t>Units 3 and 4: a study score of at least 25 in English as an Additional Language or at least 25 in English other than EAL.</w:t>
            </w:r>
          </w:p>
          <w:p w14:paraId="2261DC0B" w14:textId="77777777" w:rsidR="003748A8" w:rsidRPr="00ED099E" w:rsidRDefault="003748A8" w:rsidP="0098467A">
            <w:pPr>
              <w:rPr>
                <w:rFonts w:ascii="Calibri" w:hAnsi="Calibri"/>
                <w:sz w:val="16"/>
                <w:lang w:eastAsia="zh-CN"/>
              </w:rPr>
            </w:pPr>
          </w:p>
        </w:tc>
        <w:tc>
          <w:tcPr>
            <w:tcW w:w="4810" w:type="dxa"/>
          </w:tcPr>
          <w:p w14:paraId="1F43634C" w14:textId="77777777" w:rsidR="003748A8" w:rsidRPr="00ED099E" w:rsidRDefault="003748A8" w:rsidP="0098467A">
            <w:pPr>
              <w:rPr>
                <w:rFonts w:ascii="Calibri" w:hAnsi="Calibri"/>
                <w:sz w:val="16"/>
                <w:lang w:eastAsia="zh-CN"/>
              </w:rPr>
            </w:pPr>
            <w:r w:rsidRPr="00ED099E">
              <w:rPr>
                <w:rFonts w:ascii="Calibri" w:hAnsi="Calibri"/>
                <w:b/>
                <w:bCs/>
                <w:sz w:val="16"/>
                <w:lang w:eastAsia="zh-CN"/>
              </w:rPr>
              <w:t>Animation</w:t>
            </w:r>
            <w:r w:rsidRPr="00ED099E">
              <w:rPr>
                <w:rFonts w:ascii="Calibri" w:hAnsi="Calibri"/>
                <w:sz w:val="16"/>
                <w:lang w:eastAsia="zh-CN"/>
              </w:rPr>
              <w:t>, Automotive design, Collaborative design, Communication design, Computer-aided design (CAD), Design, Design theory, Digital media, Furniture design, Graphic design, Illustration, Industrial design, Interactive design, Materials technology, Product design and development, Spatial design, Transportation design, Visual communication, Web design.</w:t>
            </w:r>
          </w:p>
        </w:tc>
      </w:tr>
      <w:tr w:rsidR="003748A8" w:rsidRPr="006F3057" w14:paraId="23E82CE3" w14:textId="77777777" w:rsidTr="003748A8">
        <w:trPr>
          <w:trHeight w:val="532"/>
          <w:jc w:val="center"/>
        </w:trPr>
        <w:tc>
          <w:tcPr>
            <w:tcW w:w="1491" w:type="dxa"/>
            <w:vMerge w:val="restart"/>
            <w:shd w:val="clear" w:color="auto" w:fill="2F5496"/>
          </w:tcPr>
          <w:p w14:paraId="332286A9" w14:textId="77777777" w:rsidR="003748A8" w:rsidRPr="00EA2F37" w:rsidRDefault="003748A8" w:rsidP="0098467A">
            <w:pPr>
              <w:jc w:val="center"/>
              <w:rPr>
                <w:rFonts w:ascii="Calibri" w:hAnsi="Calibri"/>
                <w:b/>
                <w:color w:val="FFFFFF"/>
                <w:sz w:val="22"/>
                <w:lang w:eastAsia="zh-CN"/>
              </w:rPr>
            </w:pPr>
            <w:r w:rsidRPr="00EA2F37">
              <w:rPr>
                <w:rFonts w:ascii="Calibri" w:hAnsi="Calibri"/>
                <w:b/>
                <w:color w:val="FFFFFF"/>
                <w:sz w:val="22"/>
                <w:lang w:eastAsia="zh-CN"/>
              </w:rPr>
              <w:t>RMIT</w:t>
            </w:r>
          </w:p>
        </w:tc>
        <w:tc>
          <w:tcPr>
            <w:tcW w:w="2428" w:type="dxa"/>
          </w:tcPr>
          <w:p w14:paraId="4E94CC3F" w14:textId="77777777" w:rsidR="003748A8" w:rsidRPr="00EA2F37" w:rsidRDefault="003748A8" w:rsidP="0098467A">
            <w:pPr>
              <w:jc w:val="center"/>
              <w:rPr>
                <w:rFonts w:ascii="Calibri" w:hAnsi="Calibri"/>
                <w:sz w:val="22"/>
                <w:lang w:eastAsia="zh-CN"/>
              </w:rPr>
            </w:pPr>
            <w:hyperlink r:id="rId47" w:history="1">
              <w:r w:rsidRPr="00EA2F37">
                <w:rPr>
                  <w:rStyle w:val="Hyperlink"/>
                  <w:rFonts w:ascii="Calibri" w:hAnsi="Calibri"/>
                  <w:sz w:val="22"/>
                  <w:lang w:eastAsia="zh-CN"/>
                </w:rPr>
                <w:t>Animation and Interactive Media</w:t>
              </w:r>
            </w:hyperlink>
          </w:p>
        </w:tc>
        <w:tc>
          <w:tcPr>
            <w:tcW w:w="2455" w:type="dxa"/>
          </w:tcPr>
          <w:p w14:paraId="3D6C7856" w14:textId="77777777" w:rsidR="003748A8" w:rsidRPr="00F80DC5" w:rsidRDefault="003748A8" w:rsidP="0098467A">
            <w:pPr>
              <w:rPr>
                <w:rFonts w:ascii="Calibri" w:hAnsi="Calibri"/>
                <w:sz w:val="16"/>
                <w:szCs w:val="18"/>
                <w:lang w:eastAsia="zh-CN"/>
              </w:rPr>
            </w:pPr>
            <w:r w:rsidRPr="00F80DC5">
              <w:rPr>
                <w:rFonts w:ascii="Calibri" w:hAnsi="Calibri"/>
                <w:sz w:val="16"/>
                <w:szCs w:val="18"/>
                <w:lang w:eastAsia="zh-CN"/>
              </w:rPr>
              <w:t>Units 3 and 4: a study score of at least 25 in English other than EAL or at least 27 in EAL.</w:t>
            </w:r>
          </w:p>
          <w:p w14:paraId="055140DB" w14:textId="77777777" w:rsidR="003748A8" w:rsidRPr="00F80DC5" w:rsidRDefault="003748A8" w:rsidP="0098467A">
            <w:pPr>
              <w:rPr>
                <w:rFonts w:ascii="Calibri" w:hAnsi="Calibri"/>
                <w:sz w:val="4"/>
                <w:szCs w:val="6"/>
                <w:lang w:eastAsia="zh-CN"/>
              </w:rPr>
            </w:pPr>
          </w:p>
        </w:tc>
        <w:tc>
          <w:tcPr>
            <w:tcW w:w="4810" w:type="dxa"/>
          </w:tcPr>
          <w:p w14:paraId="1931BB39" w14:textId="77777777" w:rsidR="003748A8" w:rsidRPr="00F80DC5" w:rsidRDefault="003748A8" w:rsidP="0098467A">
            <w:pPr>
              <w:rPr>
                <w:rFonts w:ascii="Calibri" w:hAnsi="Calibri"/>
                <w:sz w:val="16"/>
                <w:szCs w:val="18"/>
                <w:lang w:eastAsia="zh-CN"/>
              </w:rPr>
            </w:pPr>
            <w:r w:rsidRPr="00F80DC5">
              <w:rPr>
                <w:rFonts w:ascii="Calibri" w:hAnsi="Calibri"/>
                <w:sz w:val="16"/>
                <w:szCs w:val="18"/>
                <w:lang w:eastAsia="zh-CN"/>
              </w:rPr>
              <w:t>2D, 3D, Animation, Computer animation, Concept art, Design, Digital arts, Illustration, Imaging and sound, Motion design, Visual effects.</w:t>
            </w:r>
          </w:p>
        </w:tc>
      </w:tr>
      <w:tr w:rsidR="003748A8" w:rsidRPr="006F3057" w14:paraId="1FD541E5" w14:textId="77777777" w:rsidTr="003748A8">
        <w:trPr>
          <w:trHeight w:val="121"/>
          <w:jc w:val="center"/>
        </w:trPr>
        <w:tc>
          <w:tcPr>
            <w:tcW w:w="1491" w:type="dxa"/>
            <w:vMerge/>
            <w:shd w:val="clear" w:color="auto" w:fill="2F5496"/>
          </w:tcPr>
          <w:p w14:paraId="1D0EB644" w14:textId="77777777" w:rsidR="003748A8" w:rsidRPr="00EA2F37" w:rsidRDefault="003748A8" w:rsidP="0098467A">
            <w:pPr>
              <w:jc w:val="center"/>
              <w:rPr>
                <w:rFonts w:ascii="Calibri" w:hAnsi="Calibri"/>
                <w:b/>
                <w:color w:val="FFFFFF"/>
                <w:sz w:val="22"/>
                <w:lang w:eastAsia="zh-CN"/>
              </w:rPr>
            </w:pPr>
          </w:p>
        </w:tc>
        <w:tc>
          <w:tcPr>
            <w:tcW w:w="2428" w:type="dxa"/>
          </w:tcPr>
          <w:p w14:paraId="58731236" w14:textId="77777777" w:rsidR="003748A8" w:rsidRPr="00EA2F37" w:rsidRDefault="003748A8" w:rsidP="0098467A">
            <w:pPr>
              <w:jc w:val="center"/>
              <w:rPr>
                <w:rFonts w:ascii="Calibri" w:hAnsi="Calibri"/>
                <w:sz w:val="22"/>
                <w:lang w:eastAsia="zh-CN"/>
              </w:rPr>
            </w:pPr>
            <w:hyperlink r:id="rId48" w:history="1">
              <w:r w:rsidRPr="00EA2F37">
                <w:rPr>
                  <w:rStyle w:val="Hyperlink"/>
                  <w:rFonts w:ascii="Calibri" w:hAnsi="Calibri"/>
                  <w:sz w:val="22"/>
                  <w:lang w:eastAsia="zh-CN"/>
                </w:rPr>
                <w:t xml:space="preserve"> Design (Games)</w:t>
              </w:r>
            </w:hyperlink>
          </w:p>
        </w:tc>
        <w:tc>
          <w:tcPr>
            <w:tcW w:w="2455" w:type="dxa"/>
          </w:tcPr>
          <w:p w14:paraId="518E94B5" w14:textId="77777777" w:rsidR="003748A8" w:rsidRPr="00F80DC5" w:rsidRDefault="003748A8" w:rsidP="0098467A">
            <w:pPr>
              <w:rPr>
                <w:rFonts w:ascii="Calibri" w:hAnsi="Calibri"/>
                <w:sz w:val="16"/>
                <w:szCs w:val="18"/>
                <w:lang w:eastAsia="zh-CN"/>
              </w:rPr>
            </w:pPr>
            <w:r w:rsidRPr="00F80DC5">
              <w:rPr>
                <w:rFonts w:ascii="Calibri" w:hAnsi="Calibri"/>
                <w:sz w:val="16"/>
                <w:szCs w:val="18"/>
                <w:lang w:eastAsia="zh-CN"/>
              </w:rPr>
              <w:t>Units 3 and 4: a study score of at least 25 in English other than EAL or at least 27 in EAL.</w:t>
            </w:r>
          </w:p>
        </w:tc>
        <w:tc>
          <w:tcPr>
            <w:tcW w:w="4810" w:type="dxa"/>
          </w:tcPr>
          <w:p w14:paraId="65EBBD97" w14:textId="77777777" w:rsidR="003748A8" w:rsidRPr="00F80DC5" w:rsidRDefault="003748A8" w:rsidP="0098467A">
            <w:pPr>
              <w:rPr>
                <w:rFonts w:ascii="Calibri" w:hAnsi="Calibri"/>
                <w:sz w:val="16"/>
                <w:szCs w:val="18"/>
                <w:lang w:eastAsia="zh-CN"/>
              </w:rPr>
            </w:pPr>
            <w:r w:rsidRPr="00F80DC5">
              <w:rPr>
                <w:rFonts w:ascii="Calibri" w:hAnsi="Calibri"/>
                <w:sz w:val="16"/>
                <w:szCs w:val="18"/>
                <w:lang w:eastAsia="zh-CN"/>
              </w:rPr>
              <w:t xml:space="preserve">3D, </w:t>
            </w:r>
            <w:r w:rsidRPr="00F80DC5">
              <w:rPr>
                <w:rFonts w:ascii="Calibri" w:hAnsi="Calibri"/>
                <w:b/>
                <w:bCs/>
                <w:sz w:val="16"/>
                <w:szCs w:val="18"/>
                <w:lang w:eastAsia="zh-CN"/>
              </w:rPr>
              <w:t>Animation</w:t>
            </w:r>
            <w:r w:rsidRPr="00F80DC5">
              <w:rPr>
                <w:rFonts w:ascii="Calibri" w:hAnsi="Calibri"/>
                <w:sz w:val="16"/>
                <w:szCs w:val="18"/>
                <w:lang w:eastAsia="zh-CN"/>
              </w:rPr>
              <w:t>, Design, Digital art, Game development and programming, Games, Graphic design.</w:t>
            </w:r>
          </w:p>
        </w:tc>
      </w:tr>
      <w:tr w:rsidR="003748A8" w:rsidRPr="006F3057" w14:paraId="49DC0C3D" w14:textId="77777777" w:rsidTr="003748A8">
        <w:trPr>
          <w:trHeight w:val="1141"/>
          <w:jc w:val="center"/>
        </w:trPr>
        <w:tc>
          <w:tcPr>
            <w:tcW w:w="1491" w:type="dxa"/>
            <w:shd w:val="clear" w:color="auto" w:fill="2F5496"/>
          </w:tcPr>
          <w:p w14:paraId="534DA137" w14:textId="77777777" w:rsidR="003748A8" w:rsidRPr="00EA2F37" w:rsidRDefault="003748A8" w:rsidP="0098467A">
            <w:pPr>
              <w:jc w:val="center"/>
              <w:rPr>
                <w:rFonts w:ascii="Calibri" w:hAnsi="Calibri"/>
                <w:b/>
                <w:color w:val="FFFFFF"/>
                <w:sz w:val="22"/>
                <w:lang w:eastAsia="zh-CN"/>
              </w:rPr>
            </w:pPr>
            <w:r w:rsidRPr="00EA2F37">
              <w:rPr>
                <w:rFonts w:ascii="Calibri" w:hAnsi="Calibri"/>
                <w:b/>
                <w:color w:val="FFFFFF"/>
                <w:sz w:val="22"/>
                <w:lang w:eastAsia="zh-CN"/>
              </w:rPr>
              <w:t xml:space="preserve">SAE </w:t>
            </w:r>
          </w:p>
        </w:tc>
        <w:tc>
          <w:tcPr>
            <w:tcW w:w="2428" w:type="dxa"/>
          </w:tcPr>
          <w:p w14:paraId="642EAF91" w14:textId="77777777" w:rsidR="003748A8" w:rsidRPr="00EA2F37" w:rsidRDefault="003748A8" w:rsidP="0098467A">
            <w:pPr>
              <w:jc w:val="center"/>
              <w:rPr>
                <w:rFonts w:asciiTheme="minorHAnsi" w:hAnsiTheme="minorHAnsi" w:cstheme="minorHAnsi"/>
                <w:sz w:val="22"/>
                <w:szCs w:val="22"/>
              </w:rPr>
            </w:pPr>
            <w:hyperlink r:id="rId49" w:history="1">
              <w:r w:rsidRPr="00EA2F37">
                <w:rPr>
                  <w:rStyle w:val="Hyperlink"/>
                  <w:rFonts w:asciiTheme="minorHAnsi" w:hAnsiTheme="minorHAnsi" w:cstheme="minorHAnsi"/>
                  <w:sz w:val="22"/>
                  <w:szCs w:val="22"/>
                </w:rPr>
                <w:t>Animation</w:t>
              </w:r>
            </w:hyperlink>
          </w:p>
        </w:tc>
        <w:tc>
          <w:tcPr>
            <w:tcW w:w="2455" w:type="dxa"/>
          </w:tcPr>
          <w:p w14:paraId="6E123FCA" w14:textId="77777777" w:rsidR="003748A8" w:rsidRPr="00235187" w:rsidRDefault="003748A8" w:rsidP="0098467A">
            <w:pPr>
              <w:rPr>
                <w:rFonts w:ascii="Calibri" w:hAnsi="Calibri"/>
                <w:sz w:val="16"/>
                <w:szCs w:val="18"/>
                <w:lang w:eastAsia="zh-CN"/>
              </w:rPr>
            </w:pPr>
            <w:r w:rsidRPr="00235187">
              <w:rPr>
                <w:rFonts w:ascii="Calibri" w:hAnsi="Calibri"/>
                <w:sz w:val="16"/>
                <w:lang w:eastAsia="zh-CN"/>
              </w:rPr>
              <w:t>Satisfactory completion of a Year 12.</w:t>
            </w:r>
          </w:p>
        </w:tc>
        <w:tc>
          <w:tcPr>
            <w:tcW w:w="4810" w:type="dxa"/>
          </w:tcPr>
          <w:p w14:paraId="4D261AB9" w14:textId="77777777" w:rsidR="003748A8" w:rsidRPr="00235187" w:rsidRDefault="003748A8" w:rsidP="0098467A">
            <w:pPr>
              <w:rPr>
                <w:rFonts w:ascii="Calibri" w:hAnsi="Calibri"/>
                <w:sz w:val="16"/>
                <w:szCs w:val="18"/>
                <w:lang w:eastAsia="zh-CN"/>
              </w:rPr>
            </w:pPr>
            <w:r w:rsidRPr="00235187">
              <w:rPr>
                <w:rFonts w:ascii="Calibri" w:hAnsi="Calibri"/>
                <w:sz w:val="16"/>
                <w:szCs w:val="18"/>
                <w:lang w:eastAsia="zh-CN"/>
              </w:rPr>
              <w:t>2D and 3D Character Animation, 3D Modelling, Animation, Business and Leadership Skills, Computer-Generated Visual Effects, Drawing and Composition, Employability Skills in Screen Industry Contexts, Histories and Theories, Media and Cultural Studies, Production for Screen and Games, Project Management, Realtime and Offline Rendering, Screen Industry Best Practices, Texturing and Shaders.</w:t>
            </w:r>
          </w:p>
        </w:tc>
      </w:tr>
      <w:tr w:rsidR="003748A8" w:rsidRPr="006F3057" w14:paraId="7D6D553E" w14:textId="77777777" w:rsidTr="003748A8">
        <w:trPr>
          <w:trHeight w:val="988"/>
          <w:jc w:val="center"/>
        </w:trPr>
        <w:tc>
          <w:tcPr>
            <w:tcW w:w="1491" w:type="dxa"/>
            <w:vMerge w:val="restart"/>
            <w:shd w:val="clear" w:color="auto" w:fill="2F5496"/>
          </w:tcPr>
          <w:p w14:paraId="19CE629E" w14:textId="77777777" w:rsidR="003748A8" w:rsidRPr="00EA2F37" w:rsidRDefault="003748A8" w:rsidP="0098467A">
            <w:pPr>
              <w:jc w:val="center"/>
              <w:rPr>
                <w:rFonts w:ascii="Calibri" w:hAnsi="Calibri"/>
                <w:b/>
                <w:color w:val="FFFFFF"/>
                <w:sz w:val="22"/>
                <w:lang w:eastAsia="zh-CN"/>
              </w:rPr>
            </w:pPr>
            <w:r w:rsidRPr="00EA2F37">
              <w:rPr>
                <w:rFonts w:ascii="Calibri" w:hAnsi="Calibri"/>
                <w:b/>
                <w:color w:val="FFFFFF"/>
                <w:sz w:val="22"/>
                <w:lang w:eastAsia="zh-CN"/>
              </w:rPr>
              <w:t>SWINBURNE</w:t>
            </w:r>
          </w:p>
        </w:tc>
        <w:tc>
          <w:tcPr>
            <w:tcW w:w="2428" w:type="dxa"/>
          </w:tcPr>
          <w:p w14:paraId="1DAA14CD" w14:textId="77777777" w:rsidR="003748A8" w:rsidRPr="00EA2F37" w:rsidRDefault="003748A8" w:rsidP="0098467A">
            <w:pPr>
              <w:jc w:val="center"/>
              <w:rPr>
                <w:rFonts w:ascii="Calibri" w:hAnsi="Calibri"/>
                <w:sz w:val="22"/>
                <w:lang w:eastAsia="zh-CN"/>
              </w:rPr>
            </w:pPr>
            <w:hyperlink r:id="rId50" w:history="1">
              <w:r w:rsidRPr="00EA2F37">
                <w:rPr>
                  <w:rStyle w:val="Hyperlink"/>
                  <w:rFonts w:ascii="Calibri" w:hAnsi="Calibri"/>
                  <w:sz w:val="22"/>
                  <w:lang w:eastAsia="zh-CN"/>
                </w:rPr>
                <w:t>Animation</w:t>
              </w:r>
            </w:hyperlink>
          </w:p>
        </w:tc>
        <w:tc>
          <w:tcPr>
            <w:tcW w:w="2455" w:type="dxa"/>
          </w:tcPr>
          <w:p w14:paraId="20ECC84D" w14:textId="77777777" w:rsidR="003748A8" w:rsidRPr="006F6FF9" w:rsidRDefault="003748A8" w:rsidP="0098467A">
            <w:pPr>
              <w:rPr>
                <w:rFonts w:ascii="Calibri" w:hAnsi="Calibri"/>
                <w:sz w:val="16"/>
                <w:szCs w:val="18"/>
                <w:lang w:eastAsia="zh-CN"/>
              </w:rPr>
            </w:pPr>
            <w:r w:rsidRPr="006F6FF9">
              <w:rPr>
                <w:rFonts w:ascii="Calibri" w:hAnsi="Calibri"/>
                <w:sz w:val="16"/>
                <w:szCs w:val="18"/>
                <w:lang w:eastAsia="zh-CN"/>
              </w:rPr>
              <w:t>Units 3 and 4: a study score of at least 25 in English other than EAL or at least 30 in EAL.</w:t>
            </w:r>
          </w:p>
          <w:p w14:paraId="36CD04EB" w14:textId="77777777" w:rsidR="003748A8" w:rsidRPr="006F6FF9" w:rsidRDefault="003748A8" w:rsidP="0098467A">
            <w:pPr>
              <w:rPr>
                <w:rFonts w:ascii="Calibri" w:hAnsi="Calibri"/>
                <w:sz w:val="16"/>
                <w:szCs w:val="18"/>
                <w:lang w:eastAsia="zh-CN"/>
              </w:rPr>
            </w:pPr>
          </w:p>
        </w:tc>
        <w:tc>
          <w:tcPr>
            <w:tcW w:w="4810" w:type="dxa"/>
          </w:tcPr>
          <w:p w14:paraId="72428821" w14:textId="77777777" w:rsidR="003748A8" w:rsidRPr="006F6FF9" w:rsidRDefault="003748A8" w:rsidP="0098467A">
            <w:pPr>
              <w:rPr>
                <w:rFonts w:ascii="Calibri" w:hAnsi="Calibri"/>
                <w:sz w:val="2"/>
                <w:szCs w:val="4"/>
                <w:lang w:eastAsia="zh-CN"/>
              </w:rPr>
            </w:pPr>
            <w:r w:rsidRPr="006F6FF9">
              <w:rPr>
                <w:rFonts w:ascii="Calibri" w:hAnsi="Calibri"/>
                <w:sz w:val="16"/>
                <w:szCs w:val="18"/>
                <w:lang w:eastAsia="zh-CN"/>
              </w:rPr>
              <w:t>2D and 3D production techniques for animation, Acting for animation, Action analysis and locomotion, Advanced character design for animation, Character and environment design, Genre and the moving image, History of animation, Producing and production management, Sound design and acquisition, Writing and directing for animation.</w:t>
            </w:r>
          </w:p>
        </w:tc>
      </w:tr>
      <w:tr w:rsidR="003748A8" w:rsidRPr="006F3057" w14:paraId="3FEE16FC" w14:textId="77777777" w:rsidTr="003748A8">
        <w:trPr>
          <w:trHeight w:val="121"/>
          <w:jc w:val="center"/>
        </w:trPr>
        <w:tc>
          <w:tcPr>
            <w:tcW w:w="1491" w:type="dxa"/>
            <w:vMerge/>
            <w:shd w:val="clear" w:color="auto" w:fill="2F5496"/>
          </w:tcPr>
          <w:p w14:paraId="666C2415" w14:textId="77777777" w:rsidR="003748A8" w:rsidRPr="00EA2F37" w:rsidRDefault="003748A8" w:rsidP="0098467A">
            <w:pPr>
              <w:jc w:val="center"/>
              <w:rPr>
                <w:rFonts w:ascii="Calibri" w:hAnsi="Calibri"/>
                <w:b/>
                <w:color w:val="FFFFFF"/>
                <w:sz w:val="22"/>
                <w:lang w:eastAsia="zh-CN"/>
              </w:rPr>
            </w:pPr>
          </w:p>
        </w:tc>
        <w:tc>
          <w:tcPr>
            <w:tcW w:w="2428" w:type="dxa"/>
          </w:tcPr>
          <w:p w14:paraId="5DB11D82" w14:textId="77777777" w:rsidR="003748A8" w:rsidRPr="00EA2F37" w:rsidRDefault="003748A8" w:rsidP="0098467A">
            <w:pPr>
              <w:jc w:val="center"/>
              <w:rPr>
                <w:rFonts w:ascii="Calibri" w:hAnsi="Calibri"/>
                <w:sz w:val="22"/>
                <w:lang w:eastAsia="zh-CN"/>
              </w:rPr>
            </w:pPr>
            <w:hyperlink r:id="rId51" w:history="1">
              <w:r w:rsidRPr="00EA2F37">
                <w:rPr>
                  <w:rStyle w:val="Hyperlink"/>
                  <w:rFonts w:ascii="Calibri" w:hAnsi="Calibri"/>
                  <w:sz w:val="22"/>
                  <w:lang w:eastAsia="zh-CN"/>
                </w:rPr>
                <w:t>Games and Interactivity/Animation</w:t>
              </w:r>
            </w:hyperlink>
            <w:r w:rsidRPr="00EA2F37">
              <w:rPr>
                <w:rFonts w:ascii="Calibri" w:hAnsi="Calibri"/>
                <w:sz w:val="22"/>
                <w:lang w:eastAsia="zh-CN"/>
              </w:rPr>
              <w:t xml:space="preserve"> </w:t>
            </w:r>
          </w:p>
        </w:tc>
        <w:tc>
          <w:tcPr>
            <w:tcW w:w="2455" w:type="dxa"/>
          </w:tcPr>
          <w:p w14:paraId="6EC5E2EF" w14:textId="77777777" w:rsidR="003748A8" w:rsidRPr="006F6FF9" w:rsidRDefault="003748A8" w:rsidP="0098467A">
            <w:pPr>
              <w:rPr>
                <w:rFonts w:ascii="Calibri" w:hAnsi="Calibri"/>
                <w:sz w:val="16"/>
                <w:szCs w:val="18"/>
                <w:lang w:eastAsia="zh-CN"/>
              </w:rPr>
            </w:pPr>
            <w:r w:rsidRPr="006F6FF9">
              <w:rPr>
                <w:rFonts w:ascii="Calibri" w:hAnsi="Calibri"/>
                <w:sz w:val="16"/>
                <w:szCs w:val="18"/>
                <w:lang w:eastAsia="zh-CN"/>
              </w:rPr>
              <w:t>Units 3 and 4: a study score of at least 25 in English other than EAL or at least 30 in EAL.</w:t>
            </w:r>
          </w:p>
          <w:p w14:paraId="389FDB71" w14:textId="77777777" w:rsidR="003748A8" w:rsidRPr="006F3057" w:rsidRDefault="003748A8" w:rsidP="0098467A">
            <w:pPr>
              <w:rPr>
                <w:rFonts w:ascii="Calibri" w:hAnsi="Calibri"/>
                <w:sz w:val="16"/>
                <w:szCs w:val="18"/>
                <w:highlight w:val="yellow"/>
                <w:lang w:eastAsia="zh-CN"/>
              </w:rPr>
            </w:pPr>
          </w:p>
        </w:tc>
        <w:tc>
          <w:tcPr>
            <w:tcW w:w="4810" w:type="dxa"/>
          </w:tcPr>
          <w:p w14:paraId="67B25830" w14:textId="77777777" w:rsidR="003748A8" w:rsidRPr="008F1839" w:rsidRDefault="003748A8" w:rsidP="0098467A">
            <w:pPr>
              <w:rPr>
                <w:rFonts w:ascii="Calibri" w:hAnsi="Calibri"/>
                <w:sz w:val="4"/>
                <w:szCs w:val="6"/>
                <w:lang w:eastAsia="zh-CN"/>
              </w:rPr>
            </w:pPr>
            <w:r w:rsidRPr="008F1839">
              <w:rPr>
                <w:rFonts w:ascii="Calibri" w:hAnsi="Calibri"/>
                <w:sz w:val="16"/>
                <w:szCs w:val="18"/>
                <w:lang w:eastAsia="zh-CN"/>
              </w:rPr>
              <w:t>2D and 3D production techniques for animation, 3D modelling for objects and environments, Acting for animation, Action analysis and locomotion, Behaviour and motivation in games, Character and environment design, Character design for animation, Development and pre-production, Digital game prototyping, Genre and the moving image, History of animation, Pervasive game design, Principles of game design, Producing and production management for animation, Production and post-production, Screen writing, Sound design and acquisition, User-centred design and evaluation, Writing for interactive narratives.</w:t>
            </w:r>
          </w:p>
        </w:tc>
      </w:tr>
      <w:tr w:rsidR="003748A8" w:rsidRPr="006F3057" w14:paraId="07A0D5F1" w14:textId="77777777" w:rsidTr="003748A8">
        <w:trPr>
          <w:trHeight w:val="121"/>
          <w:jc w:val="center"/>
        </w:trPr>
        <w:tc>
          <w:tcPr>
            <w:tcW w:w="1491" w:type="dxa"/>
            <w:vMerge/>
            <w:shd w:val="clear" w:color="auto" w:fill="2F5496"/>
          </w:tcPr>
          <w:p w14:paraId="2BF48A74" w14:textId="77777777" w:rsidR="003748A8" w:rsidRPr="00EA2F37" w:rsidRDefault="003748A8" w:rsidP="0098467A">
            <w:pPr>
              <w:jc w:val="center"/>
              <w:rPr>
                <w:rFonts w:ascii="Calibri" w:hAnsi="Calibri"/>
                <w:b/>
                <w:color w:val="FFFFFF"/>
                <w:sz w:val="22"/>
                <w:lang w:eastAsia="zh-CN"/>
              </w:rPr>
            </w:pPr>
          </w:p>
        </w:tc>
        <w:tc>
          <w:tcPr>
            <w:tcW w:w="2428" w:type="dxa"/>
          </w:tcPr>
          <w:p w14:paraId="5F7053DD" w14:textId="77777777" w:rsidR="003748A8" w:rsidRPr="00EA2F37" w:rsidRDefault="003748A8" w:rsidP="0098467A">
            <w:pPr>
              <w:jc w:val="center"/>
              <w:rPr>
                <w:rFonts w:asciiTheme="minorHAnsi" w:hAnsiTheme="minorHAnsi" w:cstheme="minorHAnsi"/>
                <w:sz w:val="22"/>
                <w:szCs w:val="22"/>
              </w:rPr>
            </w:pPr>
            <w:hyperlink r:id="rId52" w:history="1">
              <w:r w:rsidRPr="00EA2F37">
                <w:rPr>
                  <w:rStyle w:val="Hyperlink"/>
                  <w:rFonts w:asciiTheme="minorHAnsi" w:hAnsiTheme="minorHAnsi" w:cstheme="minorHAnsi"/>
                  <w:sz w:val="22"/>
                  <w:szCs w:val="22"/>
                </w:rPr>
                <w:t>Games and Interactivity</w:t>
              </w:r>
            </w:hyperlink>
          </w:p>
          <w:p w14:paraId="734E2950" w14:textId="77777777" w:rsidR="003748A8" w:rsidRPr="00EA2F37" w:rsidRDefault="003748A8" w:rsidP="0098467A">
            <w:pPr>
              <w:jc w:val="center"/>
            </w:pPr>
          </w:p>
        </w:tc>
        <w:tc>
          <w:tcPr>
            <w:tcW w:w="2455" w:type="dxa"/>
          </w:tcPr>
          <w:p w14:paraId="1893CEB6" w14:textId="77777777" w:rsidR="003748A8" w:rsidRPr="008F1839" w:rsidRDefault="003748A8" w:rsidP="0098467A">
            <w:pPr>
              <w:rPr>
                <w:rFonts w:ascii="Calibri" w:hAnsi="Calibri"/>
                <w:sz w:val="16"/>
                <w:szCs w:val="18"/>
                <w:lang w:eastAsia="zh-CN"/>
              </w:rPr>
            </w:pPr>
            <w:r w:rsidRPr="008F1839">
              <w:rPr>
                <w:rFonts w:ascii="Calibri" w:hAnsi="Calibri"/>
                <w:sz w:val="16"/>
                <w:szCs w:val="18"/>
                <w:lang w:eastAsia="zh-CN"/>
              </w:rPr>
              <w:t>Units 3 and 4: a study score of at least 20 in English other than EAL or at least 25 in EAL.</w:t>
            </w:r>
          </w:p>
          <w:p w14:paraId="796DDE47" w14:textId="77777777" w:rsidR="003748A8" w:rsidRPr="008F1839" w:rsidRDefault="003748A8" w:rsidP="0098467A">
            <w:pPr>
              <w:rPr>
                <w:rFonts w:ascii="Calibri" w:hAnsi="Calibri"/>
                <w:sz w:val="16"/>
                <w:szCs w:val="18"/>
                <w:lang w:eastAsia="zh-CN"/>
              </w:rPr>
            </w:pPr>
          </w:p>
        </w:tc>
        <w:tc>
          <w:tcPr>
            <w:tcW w:w="4810" w:type="dxa"/>
          </w:tcPr>
          <w:p w14:paraId="06F5328C" w14:textId="77777777" w:rsidR="003748A8" w:rsidRPr="008F1839" w:rsidRDefault="003748A8" w:rsidP="0098467A">
            <w:pPr>
              <w:rPr>
                <w:rFonts w:ascii="Calibri" w:hAnsi="Calibri"/>
                <w:sz w:val="16"/>
                <w:szCs w:val="18"/>
                <w:lang w:eastAsia="zh-CN"/>
              </w:rPr>
            </w:pPr>
            <w:r w:rsidRPr="008F1839">
              <w:rPr>
                <w:rFonts w:ascii="Calibri" w:hAnsi="Calibri"/>
                <w:sz w:val="16"/>
                <w:szCs w:val="18"/>
                <w:lang w:eastAsia="zh-CN"/>
              </w:rPr>
              <w:t>3D modelling for objects and environments, Behaviour and motivation in games, Digital game prototyping lab, Introduction to game studies, Introduction to games production, Pervasive game design lab, Principles of game design, Sound design and acquisition, User-centred design and evaluation, Writing for interactive narratives.</w:t>
            </w:r>
          </w:p>
        </w:tc>
      </w:tr>
      <w:tr w:rsidR="003748A8" w:rsidRPr="006F3057" w14:paraId="246403B5" w14:textId="77777777" w:rsidTr="003748A8">
        <w:trPr>
          <w:trHeight w:val="697"/>
          <w:jc w:val="center"/>
        </w:trPr>
        <w:tc>
          <w:tcPr>
            <w:tcW w:w="1491" w:type="dxa"/>
            <w:shd w:val="clear" w:color="auto" w:fill="2F5496"/>
          </w:tcPr>
          <w:p w14:paraId="403C310E" w14:textId="77777777" w:rsidR="003748A8" w:rsidRPr="00EA2F37" w:rsidRDefault="003748A8" w:rsidP="0098467A">
            <w:pPr>
              <w:jc w:val="center"/>
              <w:rPr>
                <w:rFonts w:ascii="Calibri" w:hAnsi="Calibri"/>
                <w:b/>
                <w:color w:val="FFFFFF"/>
                <w:sz w:val="22"/>
                <w:lang w:eastAsia="zh-CN"/>
              </w:rPr>
            </w:pPr>
            <w:r w:rsidRPr="00EA2F37">
              <w:rPr>
                <w:rFonts w:ascii="Calibri" w:hAnsi="Calibri"/>
                <w:b/>
                <w:color w:val="FFFFFF"/>
                <w:sz w:val="22"/>
                <w:lang w:eastAsia="zh-CN"/>
              </w:rPr>
              <w:t>UNI MELBOURNE</w:t>
            </w:r>
          </w:p>
        </w:tc>
        <w:tc>
          <w:tcPr>
            <w:tcW w:w="2428" w:type="dxa"/>
          </w:tcPr>
          <w:p w14:paraId="6032A9E5" w14:textId="77777777" w:rsidR="003748A8" w:rsidRPr="00EA2F37" w:rsidRDefault="003748A8" w:rsidP="0098467A">
            <w:pPr>
              <w:jc w:val="center"/>
              <w:rPr>
                <w:rFonts w:ascii="Calibri" w:hAnsi="Calibri"/>
                <w:sz w:val="22"/>
                <w:lang w:eastAsia="zh-CN"/>
              </w:rPr>
            </w:pPr>
            <w:hyperlink r:id="rId53" w:history="1">
              <w:r w:rsidRPr="00EA2F37">
                <w:rPr>
                  <w:rStyle w:val="Hyperlink"/>
                  <w:rFonts w:ascii="Calibri" w:hAnsi="Calibri"/>
                  <w:sz w:val="22"/>
                  <w:lang w:eastAsia="zh-CN"/>
                </w:rPr>
                <w:t>Fine Arts (Animation)</w:t>
              </w:r>
            </w:hyperlink>
          </w:p>
        </w:tc>
        <w:tc>
          <w:tcPr>
            <w:tcW w:w="2455" w:type="dxa"/>
          </w:tcPr>
          <w:p w14:paraId="12AC9ECB" w14:textId="77777777" w:rsidR="003748A8" w:rsidRPr="002E3D1F" w:rsidRDefault="003748A8" w:rsidP="0098467A">
            <w:pPr>
              <w:rPr>
                <w:rFonts w:ascii="Calibri" w:hAnsi="Calibri"/>
                <w:sz w:val="16"/>
                <w:szCs w:val="18"/>
                <w:lang w:eastAsia="zh-CN"/>
              </w:rPr>
            </w:pPr>
            <w:r w:rsidRPr="002E3D1F">
              <w:rPr>
                <w:rFonts w:ascii="Calibri" w:hAnsi="Calibri"/>
                <w:sz w:val="16"/>
                <w:szCs w:val="18"/>
                <w:lang w:eastAsia="zh-CN"/>
              </w:rPr>
              <w:t>Units 3 and 4: a study score of at least 30 in English (EAL) or at least 25 in English other than EAL.</w:t>
            </w:r>
          </w:p>
          <w:p w14:paraId="03549B1B" w14:textId="77777777" w:rsidR="003748A8" w:rsidRPr="002E3D1F" w:rsidRDefault="003748A8" w:rsidP="0098467A">
            <w:pPr>
              <w:rPr>
                <w:rFonts w:ascii="Calibri" w:hAnsi="Calibri"/>
                <w:sz w:val="4"/>
                <w:szCs w:val="6"/>
                <w:lang w:eastAsia="zh-CN"/>
              </w:rPr>
            </w:pPr>
          </w:p>
        </w:tc>
        <w:tc>
          <w:tcPr>
            <w:tcW w:w="4810" w:type="dxa"/>
          </w:tcPr>
          <w:p w14:paraId="5FCF079D" w14:textId="77777777" w:rsidR="003748A8" w:rsidRPr="002E3D1F" w:rsidRDefault="003748A8" w:rsidP="0098467A">
            <w:pPr>
              <w:rPr>
                <w:rFonts w:ascii="Calibri" w:hAnsi="Calibri"/>
                <w:sz w:val="16"/>
                <w:szCs w:val="18"/>
                <w:lang w:eastAsia="zh-CN"/>
              </w:rPr>
            </w:pPr>
            <w:r w:rsidRPr="002E3D1F">
              <w:rPr>
                <w:rFonts w:ascii="Calibri" w:hAnsi="Calibri"/>
                <w:sz w:val="16"/>
                <w:szCs w:val="18"/>
                <w:lang w:eastAsia="zh-CN"/>
              </w:rPr>
              <w:t>Animation.</w:t>
            </w:r>
          </w:p>
        </w:tc>
      </w:tr>
    </w:tbl>
    <w:p w14:paraId="75448052" w14:textId="77777777" w:rsidR="009126B2" w:rsidRPr="00D647BA" w:rsidRDefault="009126B2" w:rsidP="009126B2">
      <w:pPr>
        <w:pStyle w:val="NoSpacing"/>
        <w:ind w:left="-340"/>
        <w:rPr>
          <w:rFonts w:asciiTheme="minorHAnsi" w:hAnsiTheme="minorHAnsi" w:cstheme="minorHAnsi"/>
          <w:b/>
          <w:bCs/>
          <w:noProof/>
          <w:sz w:val="28"/>
          <w:szCs w:val="28"/>
          <w:u w:val="single"/>
          <w:lang w:eastAsia="zh-CN"/>
        </w:rPr>
      </w:pPr>
      <w:r w:rsidRPr="00D647BA">
        <w:rPr>
          <w:rFonts w:asciiTheme="minorHAnsi" w:hAnsiTheme="minorHAnsi" w:cstheme="minorHAnsi"/>
          <w:b/>
          <w:bCs/>
          <w:noProof/>
          <w:sz w:val="28"/>
          <w:szCs w:val="28"/>
          <w:u w:val="single"/>
        </w:rPr>
        <w:lastRenderedPageBreak/>
        <w:drawing>
          <wp:inline distT="0" distB="0" distL="0" distR="0" wp14:anchorId="1BE24B14" wp14:editId="5366FA5B">
            <wp:extent cx="1579245" cy="377825"/>
            <wp:effectExtent l="0" t="0" r="1905" b="3175"/>
            <wp:docPr id="1034862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79245" cy="377825"/>
                    </a:xfrm>
                    <a:prstGeom prst="rect">
                      <a:avLst/>
                    </a:prstGeom>
                    <a:noFill/>
                  </pic:spPr>
                </pic:pic>
              </a:graphicData>
            </a:graphic>
          </wp:inline>
        </w:drawing>
      </w:r>
      <w:r>
        <w:rPr>
          <w:rFonts w:asciiTheme="minorHAnsi" w:hAnsiTheme="minorHAnsi" w:cstheme="minorHAnsi"/>
          <w:b/>
          <w:bCs/>
          <w:sz w:val="28"/>
          <w:szCs w:val="28"/>
          <w:u w:val="single"/>
        </w:rPr>
        <w:t xml:space="preserve">  </w:t>
      </w:r>
      <w:r w:rsidRPr="00D647BA">
        <w:rPr>
          <w:rFonts w:asciiTheme="minorHAnsi" w:hAnsiTheme="minorHAnsi" w:cstheme="minorHAnsi"/>
          <w:b/>
          <w:bCs/>
          <w:noProof/>
          <w:sz w:val="28"/>
          <w:szCs w:val="28"/>
          <w:u w:val="single"/>
          <w:lang w:eastAsia="zh-CN"/>
        </w:rPr>
        <w:t xml:space="preserve">Snapshot of Adelaide </w:t>
      </w:r>
      <w:r>
        <w:rPr>
          <w:rFonts w:asciiTheme="minorHAnsi" w:hAnsiTheme="minorHAnsi" w:cstheme="minorHAnsi"/>
          <w:b/>
          <w:bCs/>
          <w:noProof/>
          <w:sz w:val="28"/>
          <w:szCs w:val="28"/>
          <w:u w:val="single"/>
          <w:lang w:eastAsia="zh-CN"/>
        </w:rPr>
        <w:t xml:space="preserve">University </w:t>
      </w:r>
      <w:r w:rsidRPr="00D647BA">
        <w:rPr>
          <w:rFonts w:asciiTheme="minorHAnsi" w:hAnsiTheme="minorHAnsi" w:cstheme="minorHAnsi"/>
          <w:b/>
          <w:bCs/>
          <w:noProof/>
          <w:sz w:val="28"/>
          <w:szCs w:val="28"/>
          <w:u w:val="single"/>
          <w:lang w:eastAsia="zh-CN"/>
        </w:rPr>
        <w:t>in 2026</w:t>
      </w:r>
    </w:p>
    <w:p w14:paraId="5FFBB995" w14:textId="77777777" w:rsidR="009126B2" w:rsidRPr="00B35544" w:rsidRDefault="009126B2" w:rsidP="009126B2">
      <w:pPr>
        <w:pStyle w:val="NoSpacing"/>
        <w:numPr>
          <w:ilvl w:val="0"/>
          <w:numId w:val="14"/>
        </w:numPr>
        <w:ind w:left="0"/>
        <w:rPr>
          <w:rFonts w:asciiTheme="minorHAnsi" w:hAnsiTheme="minorHAnsi" w:cstheme="minorHAnsi"/>
          <w:noProof/>
          <w:sz w:val="24"/>
          <w:szCs w:val="24"/>
          <w:lang w:eastAsia="zh-CN"/>
        </w:rPr>
      </w:pPr>
      <w:hyperlink r:id="rId55" w:history="1">
        <w:r w:rsidRPr="00B35544">
          <w:rPr>
            <w:rStyle w:val="Hyperlink"/>
            <w:rFonts w:asciiTheme="minorHAnsi" w:hAnsiTheme="minorHAnsi" w:cstheme="minorHAnsi"/>
            <w:noProof/>
            <w:sz w:val="24"/>
            <w:szCs w:val="24"/>
            <w:lang w:eastAsia="zh-CN"/>
          </w:rPr>
          <w:t>Adelaide University</w:t>
        </w:r>
      </w:hyperlink>
      <w:r w:rsidRPr="00B35544">
        <w:rPr>
          <w:rFonts w:asciiTheme="minorHAnsi" w:hAnsiTheme="minorHAnsi" w:cstheme="minorHAnsi"/>
          <w:noProof/>
          <w:sz w:val="24"/>
          <w:szCs w:val="24"/>
          <w:lang w:eastAsia="zh-CN"/>
        </w:rPr>
        <w:t xml:space="preserve"> launches officially in 2026 and replaces the University of South Australia and the University of Adelaide.  </w:t>
      </w:r>
    </w:p>
    <w:p w14:paraId="570B6344" w14:textId="77777777" w:rsidR="009126B2" w:rsidRPr="00B35544" w:rsidRDefault="009126B2" w:rsidP="009126B2">
      <w:pPr>
        <w:pStyle w:val="NoSpacing"/>
        <w:numPr>
          <w:ilvl w:val="0"/>
          <w:numId w:val="14"/>
        </w:numPr>
        <w:ind w:left="0"/>
        <w:rPr>
          <w:rFonts w:asciiTheme="minorHAnsi" w:hAnsiTheme="minorHAnsi" w:cstheme="minorHAnsi"/>
          <w:noProof/>
          <w:sz w:val="24"/>
          <w:szCs w:val="24"/>
          <w:lang w:eastAsia="zh-CN"/>
        </w:rPr>
      </w:pPr>
      <w:r w:rsidRPr="00B35544">
        <w:rPr>
          <w:rFonts w:asciiTheme="minorHAnsi" w:hAnsiTheme="minorHAnsi" w:cstheme="minorHAnsi"/>
          <w:noProof/>
          <w:sz w:val="24"/>
          <w:szCs w:val="24"/>
        </w:rPr>
        <w:t>Adelaide is amongst the world’s top 100 universities (#82 worldwide in the 2026 QS World Rankings) and and the top university in South Australia –</w:t>
      </w:r>
      <w:hyperlink r:id="rId56" w:history="1">
        <w:r w:rsidRPr="00B35544">
          <w:rPr>
            <w:rStyle w:val="Hyperlink"/>
            <w:rFonts w:asciiTheme="minorHAnsi" w:hAnsiTheme="minorHAnsi" w:cstheme="minorHAnsi"/>
            <w:noProof/>
            <w:sz w:val="24"/>
            <w:szCs w:val="24"/>
          </w:rPr>
          <w:t>World Rankings</w:t>
        </w:r>
      </w:hyperlink>
      <w:r w:rsidRPr="00B35544">
        <w:rPr>
          <w:rStyle w:val="Hyperlink"/>
          <w:rFonts w:asciiTheme="minorHAnsi" w:hAnsiTheme="minorHAnsi" w:cstheme="minorHAnsi"/>
          <w:noProof/>
          <w:sz w:val="24"/>
          <w:szCs w:val="24"/>
        </w:rPr>
        <w:t xml:space="preserve">. </w:t>
      </w:r>
    </w:p>
    <w:p w14:paraId="6AEC153F" w14:textId="77777777" w:rsidR="009126B2" w:rsidRPr="00B35544" w:rsidRDefault="009126B2" w:rsidP="009126B2">
      <w:pPr>
        <w:pStyle w:val="NoSpacing"/>
        <w:numPr>
          <w:ilvl w:val="0"/>
          <w:numId w:val="14"/>
        </w:numPr>
        <w:ind w:left="0"/>
        <w:rPr>
          <w:rFonts w:asciiTheme="minorHAnsi" w:hAnsiTheme="minorHAnsi" w:cstheme="minorHAnsi"/>
          <w:noProof/>
          <w:sz w:val="24"/>
          <w:szCs w:val="24"/>
          <w:lang w:eastAsia="zh-CN"/>
        </w:rPr>
      </w:pPr>
      <w:r w:rsidRPr="00B35544">
        <w:rPr>
          <w:rFonts w:asciiTheme="minorHAnsi" w:hAnsiTheme="minorHAnsi" w:cstheme="minorHAnsi"/>
          <w:noProof/>
          <w:sz w:val="24"/>
          <w:szCs w:val="24"/>
          <w:lang w:eastAsia="zh-CN"/>
        </w:rPr>
        <w:t xml:space="preserve">Adelaide University is a member of the </w:t>
      </w:r>
      <w:hyperlink r:id="rId57" w:history="1">
        <w:r w:rsidRPr="00B35544">
          <w:rPr>
            <w:rStyle w:val="Hyperlink"/>
            <w:rFonts w:asciiTheme="minorHAnsi" w:hAnsiTheme="minorHAnsi" w:cstheme="minorHAnsi"/>
            <w:noProof/>
            <w:sz w:val="24"/>
            <w:szCs w:val="24"/>
            <w:lang w:eastAsia="zh-CN"/>
          </w:rPr>
          <w:t>Group of Eight</w:t>
        </w:r>
      </w:hyperlink>
      <w:r w:rsidRPr="00B35544">
        <w:rPr>
          <w:rFonts w:asciiTheme="minorHAnsi" w:hAnsiTheme="minorHAnsi" w:cstheme="minorHAnsi"/>
          <w:noProof/>
          <w:sz w:val="24"/>
          <w:szCs w:val="24"/>
          <w:lang w:eastAsia="zh-CN"/>
        </w:rPr>
        <w:t>, a coalition of Australia’s leading universities.</w:t>
      </w:r>
    </w:p>
    <w:p w14:paraId="7DF80127" w14:textId="77777777" w:rsidR="009126B2" w:rsidRPr="00B35544" w:rsidRDefault="009126B2" w:rsidP="009126B2">
      <w:pPr>
        <w:pStyle w:val="NoSpacing"/>
        <w:numPr>
          <w:ilvl w:val="0"/>
          <w:numId w:val="14"/>
        </w:numPr>
        <w:ind w:left="0"/>
        <w:rPr>
          <w:rFonts w:asciiTheme="minorHAnsi" w:hAnsiTheme="minorHAnsi" w:cstheme="minorHAnsi"/>
          <w:noProof/>
          <w:sz w:val="24"/>
          <w:szCs w:val="24"/>
          <w:lang w:eastAsia="zh-CN"/>
        </w:rPr>
      </w:pPr>
      <w:r w:rsidRPr="00B35544">
        <w:rPr>
          <w:rFonts w:asciiTheme="minorHAnsi" w:hAnsiTheme="minorHAnsi" w:cstheme="minorHAnsi"/>
          <w:noProof/>
          <w:sz w:val="24"/>
          <w:szCs w:val="24"/>
          <w:lang w:eastAsia="zh-CN"/>
        </w:rPr>
        <w:t xml:space="preserve">The University has seven </w:t>
      </w:r>
      <w:hyperlink r:id="rId58" w:history="1">
        <w:r w:rsidRPr="00B35544">
          <w:rPr>
            <w:rStyle w:val="Hyperlink"/>
            <w:sz w:val="24"/>
            <w:szCs w:val="24"/>
          </w:rPr>
          <w:t>campuses</w:t>
        </w:r>
      </w:hyperlink>
      <w:r w:rsidRPr="00B35544">
        <w:rPr>
          <w:rFonts w:asciiTheme="minorHAnsi" w:hAnsiTheme="minorHAnsi" w:cstheme="minorHAnsi"/>
          <w:noProof/>
          <w:sz w:val="24"/>
          <w:szCs w:val="24"/>
          <w:lang w:eastAsia="zh-CN"/>
        </w:rPr>
        <w:t xml:space="preserve">, with a range of </w:t>
      </w:r>
      <w:hyperlink r:id="rId59" w:history="1">
        <w:r w:rsidRPr="00B35544">
          <w:rPr>
            <w:rStyle w:val="Hyperlink"/>
            <w:rFonts w:asciiTheme="minorHAnsi" w:hAnsiTheme="minorHAnsi" w:cstheme="minorHAnsi"/>
            <w:noProof/>
            <w:sz w:val="24"/>
            <w:szCs w:val="24"/>
            <w:lang w:eastAsia="zh-CN"/>
          </w:rPr>
          <w:t>accommodation</w:t>
        </w:r>
      </w:hyperlink>
      <w:r w:rsidRPr="00B35544">
        <w:rPr>
          <w:rFonts w:asciiTheme="minorHAnsi" w:hAnsiTheme="minorHAnsi" w:cstheme="minorHAnsi"/>
          <w:noProof/>
          <w:sz w:val="24"/>
          <w:szCs w:val="24"/>
          <w:lang w:eastAsia="zh-CN"/>
        </w:rPr>
        <w:t xml:space="preserve"> options including student accommodation, private rentals, share accommodation and homestays.</w:t>
      </w:r>
    </w:p>
    <w:p w14:paraId="2E512B55" w14:textId="77777777" w:rsidR="009126B2" w:rsidRPr="00B35544" w:rsidRDefault="009126B2" w:rsidP="009126B2">
      <w:pPr>
        <w:pStyle w:val="NoSpacing"/>
        <w:numPr>
          <w:ilvl w:val="0"/>
          <w:numId w:val="14"/>
        </w:numPr>
        <w:ind w:left="0"/>
        <w:rPr>
          <w:rFonts w:asciiTheme="minorHAnsi" w:hAnsiTheme="minorHAnsi" w:cstheme="minorHAnsi"/>
          <w:noProof/>
          <w:sz w:val="24"/>
          <w:szCs w:val="24"/>
          <w:lang w:eastAsia="zh-CN"/>
        </w:rPr>
      </w:pPr>
      <w:r w:rsidRPr="00B35544">
        <w:rPr>
          <w:rFonts w:asciiTheme="minorHAnsi" w:hAnsiTheme="minorHAnsi" w:cstheme="minorHAnsi"/>
          <w:noProof/>
          <w:sz w:val="24"/>
          <w:szCs w:val="24"/>
          <w:lang w:eastAsia="zh-CN"/>
        </w:rPr>
        <w:t xml:space="preserve">The university has a number of </w:t>
      </w:r>
      <w:hyperlink r:id="rId60" w:history="1">
        <w:r w:rsidRPr="00B35544">
          <w:rPr>
            <w:rStyle w:val="Hyperlink"/>
            <w:sz w:val="24"/>
            <w:szCs w:val="24"/>
          </w:rPr>
          <w:t>Global Partnerships</w:t>
        </w:r>
      </w:hyperlink>
      <w:r w:rsidRPr="00B35544">
        <w:rPr>
          <w:sz w:val="24"/>
          <w:szCs w:val="24"/>
        </w:rPr>
        <w:t xml:space="preserve"> </w:t>
      </w:r>
      <w:r w:rsidRPr="00B35544">
        <w:rPr>
          <w:rFonts w:asciiTheme="minorHAnsi" w:hAnsiTheme="minorHAnsi" w:cstheme="minorHAnsi"/>
          <w:noProof/>
          <w:sz w:val="24"/>
          <w:szCs w:val="24"/>
          <w:lang w:eastAsia="zh-CN"/>
        </w:rPr>
        <w:t xml:space="preserve">and these enable knowledge sharing and engagement to collectively tackle the most pressing global needs and achieve greater positive impact for all. </w:t>
      </w:r>
    </w:p>
    <w:p w14:paraId="7AF82096" w14:textId="77777777" w:rsidR="009126B2" w:rsidRPr="00B35544" w:rsidRDefault="009126B2" w:rsidP="009126B2">
      <w:pPr>
        <w:pStyle w:val="NoSpacing"/>
        <w:numPr>
          <w:ilvl w:val="0"/>
          <w:numId w:val="14"/>
        </w:numPr>
        <w:ind w:left="0"/>
        <w:rPr>
          <w:rFonts w:asciiTheme="minorHAnsi" w:hAnsiTheme="minorHAnsi" w:cstheme="minorHAnsi"/>
          <w:noProof/>
          <w:sz w:val="24"/>
          <w:szCs w:val="24"/>
          <w:lang w:eastAsia="zh-CN"/>
        </w:rPr>
      </w:pPr>
      <w:r w:rsidRPr="00B35544">
        <w:rPr>
          <w:rFonts w:asciiTheme="minorHAnsi" w:hAnsiTheme="minorHAnsi" w:cstheme="minorHAnsi"/>
          <w:noProof/>
          <w:sz w:val="24"/>
          <w:szCs w:val="24"/>
          <w:lang w:eastAsia="zh-CN"/>
        </w:rPr>
        <w:t xml:space="preserve">The university has six </w:t>
      </w:r>
      <w:hyperlink r:id="rId61" w:anchor="our-schools" w:history="1">
        <w:r w:rsidRPr="00B35544">
          <w:rPr>
            <w:rStyle w:val="Hyperlink"/>
            <w:rFonts w:asciiTheme="minorHAnsi" w:hAnsiTheme="minorHAnsi" w:cstheme="minorHAnsi"/>
            <w:noProof/>
            <w:sz w:val="24"/>
            <w:szCs w:val="24"/>
            <w:lang w:eastAsia="zh-CN"/>
          </w:rPr>
          <w:t>colleges</w:t>
        </w:r>
      </w:hyperlink>
      <w:r w:rsidRPr="00B35544">
        <w:rPr>
          <w:rFonts w:asciiTheme="minorHAnsi" w:hAnsiTheme="minorHAnsi" w:cstheme="minorHAnsi"/>
          <w:noProof/>
          <w:sz w:val="24"/>
          <w:szCs w:val="24"/>
          <w:lang w:eastAsia="zh-CN"/>
        </w:rPr>
        <w:t xml:space="preserve"> made up of several schools and disciplines.</w:t>
      </w:r>
    </w:p>
    <w:p w14:paraId="1C0709FD" w14:textId="77777777" w:rsidR="009126B2" w:rsidRPr="00B35544" w:rsidRDefault="009126B2" w:rsidP="009126B2">
      <w:pPr>
        <w:pStyle w:val="NoSpacing"/>
        <w:numPr>
          <w:ilvl w:val="0"/>
          <w:numId w:val="14"/>
        </w:numPr>
        <w:ind w:left="0"/>
        <w:rPr>
          <w:rFonts w:asciiTheme="minorHAnsi" w:hAnsiTheme="minorHAnsi" w:cstheme="minorHAnsi"/>
          <w:noProof/>
          <w:sz w:val="24"/>
          <w:szCs w:val="24"/>
          <w:lang w:eastAsia="zh-CN"/>
        </w:rPr>
      </w:pPr>
      <w:r w:rsidRPr="00B35544">
        <w:rPr>
          <w:rFonts w:asciiTheme="minorHAnsi" w:hAnsiTheme="minorHAnsi" w:cstheme="minorHAnsi"/>
          <w:noProof/>
          <w:sz w:val="24"/>
          <w:szCs w:val="24"/>
          <w:lang w:eastAsia="zh-CN"/>
        </w:rPr>
        <w:t xml:space="preserve">Within the College of Health, there is the </w:t>
      </w:r>
      <w:hyperlink r:id="rId62" w:history="1">
        <w:r w:rsidRPr="00B35544">
          <w:rPr>
            <w:rStyle w:val="Hyperlink"/>
            <w:rFonts w:asciiTheme="minorHAnsi" w:hAnsiTheme="minorHAnsi" w:cstheme="minorHAnsi"/>
            <w:noProof/>
            <w:sz w:val="24"/>
            <w:szCs w:val="24"/>
            <w:lang w:eastAsia="zh-CN"/>
          </w:rPr>
          <w:t>School of Dentistry</w:t>
        </w:r>
      </w:hyperlink>
      <w:r w:rsidRPr="00B35544">
        <w:rPr>
          <w:rFonts w:asciiTheme="minorHAnsi" w:hAnsiTheme="minorHAnsi" w:cstheme="minorHAnsi"/>
          <w:noProof/>
          <w:sz w:val="24"/>
          <w:szCs w:val="24"/>
          <w:lang w:eastAsia="zh-CN"/>
        </w:rPr>
        <w:t xml:space="preserve"> and also the </w:t>
      </w:r>
      <w:hyperlink r:id="rId63" w:history="1">
        <w:r w:rsidRPr="00B35544">
          <w:rPr>
            <w:rStyle w:val="Hyperlink"/>
            <w:rFonts w:asciiTheme="minorHAnsi" w:hAnsiTheme="minorHAnsi" w:cstheme="minorHAnsi"/>
            <w:noProof/>
            <w:sz w:val="24"/>
            <w:szCs w:val="24"/>
            <w:lang w:eastAsia="zh-CN"/>
          </w:rPr>
          <w:t>School of Medicine</w:t>
        </w:r>
      </w:hyperlink>
      <w:r w:rsidRPr="00B35544">
        <w:rPr>
          <w:rFonts w:asciiTheme="minorHAnsi" w:hAnsiTheme="minorHAnsi" w:cstheme="minorHAnsi"/>
          <w:noProof/>
          <w:sz w:val="24"/>
          <w:szCs w:val="24"/>
          <w:lang w:eastAsia="zh-CN"/>
        </w:rPr>
        <w:t xml:space="preserve">.  These two schools offer both undergraduate and graduate courses.  </w:t>
      </w:r>
    </w:p>
    <w:p w14:paraId="5516ED2D" w14:textId="77777777" w:rsidR="009126B2" w:rsidRPr="00B35544" w:rsidRDefault="009126B2" w:rsidP="009126B2">
      <w:pPr>
        <w:pStyle w:val="NoSpacing"/>
        <w:numPr>
          <w:ilvl w:val="0"/>
          <w:numId w:val="14"/>
        </w:numPr>
        <w:ind w:left="0"/>
        <w:rPr>
          <w:rFonts w:asciiTheme="minorHAnsi" w:hAnsiTheme="minorHAnsi" w:cstheme="minorHAnsi"/>
          <w:noProof/>
          <w:sz w:val="24"/>
          <w:szCs w:val="24"/>
          <w:lang w:eastAsia="zh-CN"/>
        </w:rPr>
      </w:pPr>
      <w:r w:rsidRPr="00B35544">
        <w:rPr>
          <w:rFonts w:asciiTheme="minorHAnsi" w:hAnsiTheme="minorHAnsi" w:cstheme="minorHAnsi"/>
          <w:noProof/>
          <w:sz w:val="24"/>
          <w:szCs w:val="24"/>
          <w:lang w:eastAsia="zh-CN"/>
        </w:rPr>
        <w:t xml:space="preserve">Within the College of Science, there is the </w:t>
      </w:r>
      <w:hyperlink r:id="rId64" w:history="1">
        <w:r w:rsidRPr="00B35544">
          <w:rPr>
            <w:rStyle w:val="Hyperlink"/>
            <w:rFonts w:asciiTheme="minorHAnsi" w:hAnsiTheme="minorHAnsi" w:cstheme="minorHAnsi"/>
            <w:noProof/>
            <w:sz w:val="24"/>
            <w:szCs w:val="24"/>
            <w:lang w:eastAsia="zh-CN"/>
          </w:rPr>
          <w:t>School of Animal and Veterinary Sciences</w:t>
        </w:r>
      </w:hyperlink>
      <w:r w:rsidRPr="00B35544">
        <w:rPr>
          <w:rFonts w:asciiTheme="minorHAnsi" w:hAnsiTheme="minorHAnsi" w:cstheme="minorHAnsi"/>
          <w:noProof/>
          <w:sz w:val="24"/>
          <w:szCs w:val="24"/>
          <w:lang w:eastAsia="zh-CN"/>
        </w:rPr>
        <w:t>, which offers courses including Veterinary Science and Veterinary Technology.</w:t>
      </w:r>
    </w:p>
    <w:p w14:paraId="6B95AF03" w14:textId="77777777" w:rsidR="009126B2" w:rsidRPr="00B35544" w:rsidRDefault="009126B2" w:rsidP="009126B2">
      <w:pPr>
        <w:pStyle w:val="NoSpacing"/>
        <w:numPr>
          <w:ilvl w:val="0"/>
          <w:numId w:val="15"/>
        </w:numPr>
        <w:ind w:left="0"/>
        <w:rPr>
          <w:rFonts w:asciiTheme="minorHAnsi" w:hAnsiTheme="minorHAnsi" w:cstheme="minorHAnsi"/>
          <w:noProof/>
          <w:sz w:val="24"/>
          <w:szCs w:val="24"/>
          <w:lang w:eastAsia="zh-CN"/>
        </w:rPr>
      </w:pPr>
      <w:r w:rsidRPr="00B35544">
        <w:rPr>
          <w:rFonts w:asciiTheme="minorHAnsi" w:hAnsiTheme="minorHAnsi" w:cstheme="minorHAnsi"/>
          <w:noProof/>
          <w:sz w:val="24"/>
          <w:szCs w:val="24"/>
          <w:lang w:eastAsia="zh-CN"/>
        </w:rPr>
        <w:t xml:space="preserve">The university has a vibrant and diverse </w:t>
      </w:r>
      <w:hyperlink r:id="rId65" w:history="1">
        <w:r w:rsidRPr="00B35544">
          <w:rPr>
            <w:rStyle w:val="Hyperlink"/>
            <w:rFonts w:asciiTheme="minorHAnsi" w:hAnsiTheme="minorHAnsi" w:cstheme="minorHAnsi"/>
            <w:noProof/>
            <w:sz w:val="24"/>
            <w:szCs w:val="24"/>
            <w:lang w:eastAsia="zh-CN"/>
          </w:rPr>
          <w:t>volunteer</w:t>
        </w:r>
      </w:hyperlink>
      <w:r w:rsidRPr="00B35544">
        <w:rPr>
          <w:rFonts w:asciiTheme="minorHAnsi" w:hAnsiTheme="minorHAnsi" w:cstheme="minorHAnsi"/>
          <w:noProof/>
          <w:sz w:val="24"/>
          <w:szCs w:val="24"/>
          <w:lang w:eastAsia="zh-CN"/>
        </w:rPr>
        <w:t xml:space="preserve"> community, with volunteering and community service regarded by the university as an important enrichment activity.</w:t>
      </w:r>
    </w:p>
    <w:p w14:paraId="6867F3DC" w14:textId="77777777" w:rsidR="009126B2" w:rsidRPr="00B35544" w:rsidRDefault="009126B2" w:rsidP="009126B2">
      <w:pPr>
        <w:pStyle w:val="NoSpacing"/>
        <w:numPr>
          <w:ilvl w:val="0"/>
          <w:numId w:val="15"/>
        </w:numPr>
        <w:ind w:left="0"/>
        <w:rPr>
          <w:rFonts w:asciiTheme="minorHAnsi" w:hAnsiTheme="minorHAnsi" w:cstheme="minorHAnsi"/>
          <w:noProof/>
          <w:sz w:val="24"/>
          <w:szCs w:val="24"/>
          <w:lang w:eastAsia="zh-CN"/>
        </w:rPr>
      </w:pPr>
      <w:r w:rsidRPr="00B35544">
        <w:rPr>
          <w:rFonts w:asciiTheme="minorHAnsi" w:hAnsiTheme="minorHAnsi" w:cstheme="minorHAnsi"/>
          <w:noProof/>
          <w:sz w:val="24"/>
          <w:szCs w:val="24"/>
          <w:lang w:eastAsia="zh-CN"/>
        </w:rPr>
        <w:t xml:space="preserve">The University of Adelaide offers a wide range of </w:t>
      </w:r>
      <w:hyperlink r:id="rId66" w:history="1">
        <w:r w:rsidRPr="00B35544">
          <w:rPr>
            <w:rStyle w:val="Hyperlink"/>
            <w:sz w:val="24"/>
            <w:szCs w:val="24"/>
          </w:rPr>
          <w:t>scholarships</w:t>
        </w:r>
      </w:hyperlink>
      <w:r w:rsidRPr="00B35544">
        <w:rPr>
          <w:sz w:val="24"/>
          <w:szCs w:val="24"/>
        </w:rPr>
        <w:t xml:space="preserve"> </w:t>
      </w:r>
      <w:r w:rsidRPr="00B35544">
        <w:rPr>
          <w:rFonts w:asciiTheme="minorHAnsi" w:hAnsiTheme="minorHAnsi" w:cstheme="minorHAnsi"/>
          <w:noProof/>
          <w:sz w:val="24"/>
          <w:szCs w:val="24"/>
          <w:lang w:eastAsia="zh-CN"/>
        </w:rPr>
        <w:t xml:space="preserve"> ranging in value.</w:t>
      </w:r>
    </w:p>
    <w:p w14:paraId="6DB1B823" w14:textId="7490F633" w:rsidR="009B29E8" w:rsidRPr="009126B2" w:rsidRDefault="009126B2" w:rsidP="003D3B1B">
      <w:pPr>
        <w:pStyle w:val="NoSpacing"/>
        <w:numPr>
          <w:ilvl w:val="0"/>
          <w:numId w:val="15"/>
        </w:numPr>
        <w:ind w:left="0"/>
        <w:rPr>
          <w:rFonts w:asciiTheme="minorHAnsi" w:hAnsiTheme="minorHAnsi" w:cstheme="minorHAnsi"/>
          <w:b/>
          <w:sz w:val="24"/>
          <w:szCs w:val="24"/>
        </w:rPr>
      </w:pPr>
      <w:r w:rsidRPr="009126B2">
        <w:rPr>
          <w:sz w:val="24"/>
          <w:szCs w:val="24"/>
        </w:rPr>
        <w:t xml:space="preserve">The </w:t>
      </w:r>
      <w:hyperlink r:id="rId67" w:history="1">
        <w:r w:rsidRPr="009126B2">
          <w:rPr>
            <w:rStyle w:val="Hyperlink"/>
            <w:sz w:val="24"/>
            <w:szCs w:val="24"/>
          </w:rPr>
          <w:t>Global Learning</w:t>
        </w:r>
      </w:hyperlink>
      <w:r w:rsidRPr="009126B2">
        <w:rPr>
          <w:sz w:val="24"/>
          <w:szCs w:val="24"/>
        </w:rPr>
        <w:t xml:space="preserve"> programs on offer give students the opportunity to complete part of their degree overseas.  By taking part in a semester exchange or short-term program, participants can see the world and enrich their life on a personal, academic, and professional level.</w:t>
      </w:r>
      <w:r w:rsidRPr="009126B2">
        <w:rPr>
          <w:sz w:val="24"/>
          <w:szCs w:val="24"/>
        </w:rPr>
        <w:br/>
      </w:r>
      <w:r w:rsidRPr="009126B2">
        <w:rPr>
          <w:sz w:val="24"/>
          <w:szCs w:val="24"/>
        </w:rPr>
        <w:br/>
      </w:r>
      <w:r w:rsidRPr="00173A52">
        <w:rPr>
          <w:noProof/>
        </w:rPr>
        <w:drawing>
          <wp:inline distT="0" distB="0" distL="0" distR="0" wp14:anchorId="309F68D3" wp14:editId="6ED9B933">
            <wp:extent cx="2505075" cy="2505075"/>
            <wp:effectExtent l="0" t="0" r="9525" b="9525"/>
            <wp:docPr id="728237553" name="Picture 2" descr="Adelaide City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elaide City Campus"/>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r w:rsidRPr="009126B2">
        <w:rPr>
          <w:rFonts w:asciiTheme="minorHAnsi" w:hAnsiTheme="minorHAnsi" w:cstheme="minorHAnsi"/>
          <w:noProof/>
        </w:rPr>
        <w:t xml:space="preserve">      </w:t>
      </w:r>
      <w:r>
        <w:rPr>
          <w:rFonts w:asciiTheme="minorHAnsi" w:hAnsiTheme="minorHAnsi" w:cstheme="minorHAnsi"/>
          <w:noProof/>
        </w:rPr>
        <w:t xml:space="preserve">               </w:t>
      </w:r>
      <w:r w:rsidRPr="009126B2">
        <w:rPr>
          <w:rFonts w:asciiTheme="minorHAnsi" w:hAnsiTheme="minorHAnsi" w:cstheme="minorHAnsi"/>
          <w:noProof/>
          <w:sz w:val="24"/>
          <w:szCs w:val="24"/>
          <w:lang w:eastAsia="zh-CN"/>
        </w:rPr>
        <w:t xml:space="preserve"> </w:t>
      </w:r>
      <w:r w:rsidRPr="00173A52">
        <w:rPr>
          <w:rFonts w:asciiTheme="minorHAnsi" w:hAnsiTheme="minorHAnsi" w:cstheme="minorHAnsi"/>
          <w:noProof/>
          <w:sz w:val="24"/>
          <w:szCs w:val="24"/>
          <w:lang w:eastAsia="zh-CN"/>
        </w:rPr>
        <w:drawing>
          <wp:inline distT="0" distB="0" distL="0" distR="0" wp14:anchorId="06EE6BA2" wp14:editId="00C3B3EA">
            <wp:extent cx="2495550" cy="2495550"/>
            <wp:effectExtent l="0" t="0" r="0" b="0"/>
            <wp:docPr id="236898430" name="Picture 4" descr="Adelaide City Campus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elaide City Campus East"/>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inline>
        </w:drawing>
      </w:r>
    </w:p>
    <w:sectPr w:rsidR="009B29E8" w:rsidRPr="009126B2" w:rsidSect="005450C2">
      <w:footerReference w:type="default" r:id="rId7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ABBC" w14:textId="77777777" w:rsidR="0037059C" w:rsidRDefault="0037059C">
      <w:r>
        <w:separator/>
      </w:r>
    </w:p>
  </w:endnote>
  <w:endnote w:type="continuationSeparator" w:id="0">
    <w:p w14:paraId="30216FBE" w14:textId="77777777" w:rsidR="0037059C" w:rsidRDefault="0037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EDC3" w14:textId="70AE67EB" w:rsidR="004859DE" w:rsidRDefault="004859DE" w:rsidP="004859DE">
    <w:pPr>
      <w:pStyle w:val="Footer"/>
      <w:jc w:val="center"/>
    </w:pPr>
    <w:r>
      <w:t xml:space="preserve">Compass Career News </w:t>
    </w:r>
    <w:r>
      <w:rPr>
        <w:rFonts w:ascii="Calibri" w:hAnsi="Calibri" w:cs="Calibri"/>
      </w:rPr>
      <w:t xml:space="preserve">© </w:t>
    </w:r>
    <w:r>
      <w:t>202</w:t>
    </w:r>
    <w:r w:rsidR="003637AC">
      <w:t>6</w:t>
    </w:r>
    <w:r>
      <w:t xml:space="preserve"> - for use by subscribers only</w:t>
    </w:r>
  </w:p>
  <w:p w14:paraId="5CA28687" w14:textId="77777777" w:rsidR="004859DE" w:rsidRDefault="0048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2274" w14:textId="77777777" w:rsidR="0037059C" w:rsidRDefault="0037059C">
      <w:r>
        <w:separator/>
      </w:r>
    </w:p>
  </w:footnote>
  <w:footnote w:type="continuationSeparator" w:id="0">
    <w:p w14:paraId="321FB64E" w14:textId="77777777" w:rsidR="0037059C" w:rsidRDefault="00370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5F8"/>
    <w:multiLevelType w:val="hybridMultilevel"/>
    <w:tmpl w:val="8D905F50"/>
    <w:lvl w:ilvl="0" w:tplc="FA762F4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AC275FD"/>
    <w:multiLevelType w:val="hybridMultilevel"/>
    <w:tmpl w:val="5890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739C9"/>
    <w:multiLevelType w:val="multilevel"/>
    <w:tmpl w:val="095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C25F0"/>
    <w:multiLevelType w:val="multilevel"/>
    <w:tmpl w:val="2F2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102CB0"/>
    <w:multiLevelType w:val="hybridMultilevel"/>
    <w:tmpl w:val="37922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CF4D41"/>
    <w:multiLevelType w:val="hybridMultilevel"/>
    <w:tmpl w:val="28B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BE100C"/>
    <w:multiLevelType w:val="multilevel"/>
    <w:tmpl w:val="883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B1763"/>
    <w:multiLevelType w:val="multilevel"/>
    <w:tmpl w:val="B16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D6940"/>
    <w:multiLevelType w:val="hybridMultilevel"/>
    <w:tmpl w:val="152EC920"/>
    <w:lvl w:ilvl="0" w:tplc="64162C2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864111"/>
    <w:multiLevelType w:val="multilevel"/>
    <w:tmpl w:val="D69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E3403"/>
    <w:multiLevelType w:val="hybridMultilevel"/>
    <w:tmpl w:val="A3487E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3679E9"/>
    <w:multiLevelType w:val="multilevel"/>
    <w:tmpl w:val="6CA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E0A07"/>
    <w:multiLevelType w:val="multilevel"/>
    <w:tmpl w:val="D0E2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2908D7"/>
    <w:multiLevelType w:val="hybridMultilevel"/>
    <w:tmpl w:val="34B0BD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E1FB4"/>
    <w:multiLevelType w:val="multilevel"/>
    <w:tmpl w:val="32F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15257">
    <w:abstractNumId w:val="14"/>
  </w:num>
  <w:num w:numId="2" w16cid:durableId="1446926196">
    <w:abstractNumId w:val="4"/>
  </w:num>
  <w:num w:numId="3" w16cid:durableId="947732349">
    <w:abstractNumId w:val="15"/>
  </w:num>
  <w:num w:numId="4" w16cid:durableId="1482381073">
    <w:abstractNumId w:val="1"/>
  </w:num>
  <w:num w:numId="5" w16cid:durableId="1891071920">
    <w:abstractNumId w:val="7"/>
  </w:num>
  <w:num w:numId="6" w16cid:durableId="1850291845">
    <w:abstractNumId w:val="3"/>
  </w:num>
  <w:num w:numId="7" w16cid:durableId="759183325">
    <w:abstractNumId w:val="10"/>
  </w:num>
  <w:num w:numId="8" w16cid:durableId="1067844936">
    <w:abstractNumId w:val="2"/>
  </w:num>
  <w:num w:numId="9" w16cid:durableId="282686708">
    <w:abstractNumId w:val="6"/>
  </w:num>
  <w:num w:numId="10" w16cid:durableId="1430807677">
    <w:abstractNumId w:val="12"/>
  </w:num>
  <w:num w:numId="11" w16cid:durableId="1177159869">
    <w:abstractNumId w:val="13"/>
  </w:num>
  <w:num w:numId="12" w16cid:durableId="1560363315">
    <w:abstractNumId w:val="5"/>
  </w:num>
  <w:num w:numId="13" w16cid:durableId="716315058">
    <w:abstractNumId w:val="9"/>
  </w:num>
  <w:num w:numId="14" w16cid:durableId="1050227655">
    <w:abstractNumId w:val="8"/>
  </w:num>
  <w:num w:numId="15" w16cid:durableId="481653736">
    <w:abstractNumId w:val="0"/>
  </w:num>
  <w:num w:numId="16" w16cid:durableId="99132759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C4"/>
    <w:rsid w:val="0004415E"/>
    <w:rsid w:val="00045187"/>
    <w:rsid w:val="00045545"/>
    <w:rsid w:val="00046287"/>
    <w:rsid w:val="00046403"/>
    <w:rsid w:val="000465BC"/>
    <w:rsid w:val="0004695A"/>
    <w:rsid w:val="00046A97"/>
    <w:rsid w:val="00046F2D"/>
    <w:rsid w:val="0004732B"/>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9CA"/>
    <w:rsid w:val="00071D59"/>
    <w:rsid w:val="00072A45"/>
    <w:rsid w:val="0007312A"/>
    <w:rsid w:val="00073DFC"/>
    <w:rsid w:val="000741D5"/>
    <w:rsid w:val="00074994"/>
    <w:rsid w:val="00074A62"/>
    <w:rsid w:val="00075161"/>
    <w:rsid w:val="000751C1"/>
    <w:rsid w:val="00075625"/>
    <w:rsid w:val="00075E44"/>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765"/>
    <w:rsid w:val="0009087B"/>
    <w:rsid w:val="00090CC5"/>
    <w:rsid w:val="000918BB"/>
    <w:rsid w:val="00091B2C"/>
    <w:rsid w:val="000929DA"/>
    <w:rsid w:val="00092F54"/>
    <w:rsid w:val="0009315C"/>
    <w:rsid w:val="0009337E"/>
    <w:rsid w:val="000934B3"/>
    <w:rsid w:val="0009384A"/>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15F"/>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52D"/>
    <w:rsid w:val="000D5B13"/>
    <w:rsid w:val="000D5B54"/>
    <w:rsid w:val="000D5E1A"/>
    <w:rsid w:val="000D5E80"/>
    <w:rsid w:val="000D6846"/>
    <w:rsid w:val="000D7E25"/>
    <w:rsid w:val="000E000E"/>
    <w:rsid w:val="000E01CC"/>
    <w:rsid w:val="000E116C"/>
    <w:rsid w:val="000E1D06"/>
    <w:rsid w:val="000E1D30"/>
    <w:rsid w:val="000E210E"/>
    <w:rsid w:val="000E2144"/>
    <w:rsid w:val="000E23C0"/>
    <w:rsid w:val="000E2C56"/>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1B"/>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F5B"/>
    <w:rsid w:val="00126FDB"/>
    <w:rsid w:val="0012773C"/>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4073"/>
    <w:rsid w:val="0014540A"/>
    <w:rsid w:val="00145D07"/>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309"/>
    <w:rsid w:val="001D46AF"/>
    <w:rsid w:val="001D4F8E"/>
    <w:rsid w:val="001D4FEC"/>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510"/>
    <w:rsid w:val="001E76F9"/>
    <w:rsid w:val="001E77AF"/>
    <w:rsid w:val="001E7B03"/>
    <w:rsid w:val="001E7FFB"/>
    <w:rsid w:val="001F0023"/>
    <w:rsid w:val="001F034B"/>
    <w:rsid w:val="001F0405"/>
    <w:rsid w:val="001F0D37"/>
    <w:rsid w:val="001F0FFF"/>
    <w:rsid w:val="001F19F9"/>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81"/>
    <w:rsid w:val="00204093"/>
    <w:rsid w:val="002048BE"/>
    <w:rsid w:val="0020490B"/>
    <w:rsid w:val="00205914"/>
    <w:rsid w:val="00205A7F"/>
    <w:rsid w:val="002063E1"/>
    <w:rsid w:val="002063EC"/>
    <w:rsid w:val="002065A5"/>
    <w:rsid w:val="002065D9"/>
    <w:rsid w:val="002065F5"/>
    <w:rsid w:val="0020661E"/>
    <w:rsid w:val="00206AEA"/>
    <w:rsid w:val="00206C30"/>
    <w:rsid w:val="00206E5F"/>
    <w:rsid w:val="0020748B"/>
    <w:rsid w:val="002076A1"/>
    <w:rsid w:val="00207F2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19C"/>
    <w:rsid w:val="00256F30"/>
    <w:rsid w:val="00257379"/>
    <w:rsid w:val="00257A6B"/>
    <w:rsid w:val="00257E2B"/>
    <w:rsid w:val="0026049D"/>
    <w:rsid w:val="00260BA6"/>
    <w:rsid w:val="002617C0"/>
    <w:rsid w:val="00261C60"/>
    <w:rsid w:val="00262219"/>
    <w:rsid w:val="002624ED"/>
    <w:rsid w:val="00262561"/>
    <w:rsid w:val="00262874"/>
    <w:rsid w:val="00262936"/>
    <w:rsid w:val="00262ADE"/>
    <w:rsid w:val="0026343F"/>
    <w:rsid w:val="002634AF"/>
    <w:rsid w:val="00263583"/>
    <w:rsid w:val="00263794"/>
    <w:rsid w:val="00263808"/>
    <w:rsid w:val="002643FD"/>
    <w:rsid w:val="00264D0A"/>
    <w:rsid w:val="00265296"/>
    <w:rsid w:val="002660EE"/>
    <w:rsid w:val="00266587"/>
    <w:rsid w:val="00266E5C"/>
    <w:rsid w:val="00266E79"/>
    <w:rsid w:val="00270964"/>
    <w:rsid w:val="00270B1A"/>
    <w:rsid w:val="00270D95"/>
    <w:rsid w:val="00270E5E"/>
    <w:rsid w:val="002713FD"/>
    <w:rsid w:val="002714CB"/>
    <w:rsid w:val="002714E0"/>
    <w:rsid w:val="00271D67"/>
    <w:rsid w:val="00271F16"/>
    <w:rsid w:val="00272266"/>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EEB"/>
    <w:rsid w:val="00276FF9"/>
    <w:rsid w:val="002771B8"/>
    <w:rsid w:val="002777FB"/>
    <w:rsid w:val="00280424"/>
    <w:rsid w:val="00280497"/>
    <w:rsid w:val="00281AE6"/>
    <w:rsid w:val="00281C8D"/>
    <w:rsid w:val="00282435"/>
    <w:rsid w:val="0028254E"/>
    <w:rsid w:val="00282BA3"/>
    <w:rsid w:val="00282FD3"/>
    <w:rsid w:val="00283B47"/>
    <w:rsid w:val="0028586A"/>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60B"/>
    <w:rsid w:val="002E4819"/>
    <w:rsid w:val="002E4DA1"/>
    <w:rsid w:val="002E599B"/>
    <w:rsid w:val="002E6C79"/>
    <w:rsid w:val="002E6CB6"/>
    <w:rsid w:val="002E6E67"/>
    <w:rsid w:val="002E6F3C"/>
    <w:rsid w:val="002E7133"/>
    <w:rsid w:val="002E7297"/>
    <w:rsid w:val="002E76DC"/>
    <w:rsid w:val="002E7863"/>
    <w:rsid w:val="002E7951"/>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6BB"/>
    <w:rsid w:val="00317713"/>
    <w:rsid w:val="0031771D"/>
    <w:rsid w:val="00317BD9"/>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C4"/>
    <w:rsid w:val="00344D8A"/>
    <w:rsid w:val="003459CA"/>
    <w:rsid w:val="00345DF8"/>
    <w:rsid w:val="00345E51"/>
    <w:rsid w:val="00345ED5"/>
    <w:rsid w:val="00346544"/>
    <w:rsid w:val="00346731"/>
    <w:rsid w:val="00346CC8"/>
    <w:rsid w:val="0034735E"/>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B3A"/>
    <w:rsid w:val="00384D80"/>
    <w:rsid w:val="00385004"/>
    <w:rsid w:val="00385116"/>
    <w:rsid w:val="00385647"/>
    <w:rsid w:val="00385BD9"/>
    <w:rsid w:val="003864A3"/>
    <w:rsid w:val="00386565"/>
    <w:rsid w:val="00386EC9"/>
    <w:rsid w:val="0038704B"/>
    <w:rsid w:val="00387377"/>
    <w:rsid w:val="003873D4"/>
    <w:rsid w:val="00387442"/>
    <w:rsid w:val="003878AB"/>
    <w:rsid w:val="00390D6C"/>
    <w:rsid w:val="00390F00"/>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A27"/>
    <w:rsid w:val="003A12D9"/>
    <w:rsid w:val="003A1562"/>
    <w:rsid w:val="003A196C"/>
    <w:rsid w:val="003A1A24"/>
    <w:rsid w:val="003A1AED"/>
    <w:rsid w:val="003A244D"/>
    <w:rsid w:val="003A2586"/>
    <w:rsid w:val="003A2F73"/>
    <w:rsid w:val="003A30B4"/>
    <w:rsid w:val="003A3809"/>
    <w:rsid w:val="003A3C60"/>
    <w:rsid w:val="003A3DB8"/>
    <w:rsid w:val="003A3EEE"/>
    <w:rsid w:val="003A3FCA"/>
    <w:rsid w:val="003A40A8"/>
    <w:rsid w:val="003A4224"/>
    <w:rsid w:val="003A493B"/>
    <w:rsid w:val="003A4A89"/>
    <w:rsid w:val="003A5105"/>
    <w:rsid w:val="003A53FA"/>
    <w:rsid w:val="003A5547"/>
    <w:rsid w:val="003A67F7"/>
    <w:rsid w:val="003A67F8"/>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6DF"/>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14F7"/>
    <w:rsid w:val="003D1B80"/>
    <w:rsid w:val="003D2161"/>
    <w:rsid w:val="003D306E"/>
    <w:rsid w:val="003D33A4"/>
    <w:rsid w:val="003D3468"/>
    <w:rsid w:val="003D3582"/>
    <w:rsid w:val="003D3D7F"/>
    <w:rsid w:val="003D4B5A"/>
    <w:rsid w:val="003D51E8"/>
    <w:rsid w:val="003D54B0"/>
    <w:rsid w:val="003D560D"/>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E40"/>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99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278"/>
    <w:rsid w:val="00405B2F"/>
    <w:rsid w:val="00405BB6"/>
    <w:rsid w:val="00405BDA"/>
    <w:rsid w:val="004060C7"/>
    <w:rsid w:val="004063B2"/>
    <w:rsid w:val="004065CA"/>
    <w:rsid w:val="00406D78"/>
    <w:rsid w:val="0040719F"/>
    <w:rsid w:val="00410224"/>
    <w:rsid w:val="0041037C"/>
    <w:rsid w:val="00410C9A"/>
    <w:rsid w:val="00410E87"/>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91B"/>
    <w:rsid w:val="00415E5F"/>
    <w:rsid w:val="00415EB5"/>
    <w:rsid w:val="004164B3"/>
    <w:rsid w:val="00416C9F"/>
    <w:rsid w:val="00417F4C"/>
    <w:rsid w:val="00420273"/>
    <w:rsid w:val="0042039E"/>
    <w:rsid w:val="0042048A"/>
    <w:rsid w:val="0042151F"/>
    <w:rsid w:val="004219EE"/>
    <w:rsid w:val="00421A85"/>
    <w:rsid w:val="00422883"/>
    <w:rsid w:val="00422AA2"/>
    <w:rsid w:val="00422FA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E87"/>
    <w:rsid w:val="0044683B"/>
    <w:rsid w:val="004469B6"/>
    <w:rsid w:val="00446CE2"/>
    <w:rsid w:val="00447075"/>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876"/>
    <w:rsid w:val="004F08EE"/>
    <w:rsid w:val="004F09D3"/>
    <w:rsid w:val="004F0B24"/>
    <w:rsid w:val="004F0CEC"/>
    <w:rsid w:val="004F1083"/>
    <w:rsid w:val="004F12DC"/>
    <w:rsid w:val="004F20FF"/>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111F"/>
    <w:rsid w:val="00531242"/>
    <w:rsid w:val="005319ED"/>
    <w:rsid w:val="00531B22"/>
    <w:rsid w:val="00531F87"/>
    <w:rsid w:val="005327BF"/>
    <w:rsid w:val="00532B1C"/>
    <w:rsid w:val="00532B6D"/>
    <w:rsid w:val="00532C5F"/>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D9"/>
    <w:rsid w:val="00544579"/>
    <w:rsid w:val="00544B0C"/>
    <w:rsid w:val="005450C2"/>
    <w:rsid w:val="0054538D"/>
    <w:rsid w:val="00545583"/>
    <w:rsid w:val="005456A5"/>
    <w:rsid w:val="0054582B"/>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F4E"/>
    <w:rsid w:val="00580755"/>
    <w:rsid w:val="00580FCF"/>
    <w:rsid w:val="0058302B"/>
    <w:rsid w:val="005832BF"/>
    <w:rsid w:val="005835AA"/>
    <w:rsid w:val="00583A72"/>
    <w:rsid w:val="00583AC3"/>
    <w:rsid w:val="00583C76"/>
    <w:rsid w:val="00583ED1"/>
    <w:rsid w:val="005840D7"/>
    <w:rsid w:val="00584610"/>
    <w:rsid w:val="0058566E"/>
    <w:rsid w:val="0058579B"/>
    <w:rsid w:val="00585A51"/>
    <w:rsid w:val="00585FC2"/>
    <w:rsid w:val="00586103"/>
    <w:rsid w:val="005861BE"/>
    <w:rsid w:val="0058689B"/>
    <w:rsid w:val="005869BE"/>
    <w:rsid w:val="00586A0F"/>
    <w:rsid w:val="00586AEB"/>
    <w:rsid w:val="00586B14"/>
    <w:rsid w:val="005871D1"/>
    <w:rsid w:val="0058736E"/>
    <w:rsid w:val="005906A8"/>
    <w:rsid w:val="0059073E"/>
    <w:rsid w:val="0059172D"/>
    <w:rsid w:val="005924FD"/>
    <w:rsid w:val="00592614"/>
    <w:rsid w:val="00592AEB"/>
    <w:rsid w:val="00592C41"/>
    <w:rsid w:val="005939A0"/>
    <w:rsid w:val="005943F8"/>
    <w:rsid w:val="0059483E"/>
    <w:rsid w:val="00594FD7"/>
    <w:rsid w:val="005954D5"/>
    <w:rsid w:val="00595EE1"/>
    <w:rsid w:val="0059655E"/>
    <w:rsid w:val="00596811"/>
    <w:rsid w:val="0059750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A8F"/>
    <w:rsid w:val="005A4D01"/>
    <w:rsid w:val="005A5F38"/>
    <w:rsid w:val="005A6034"/>
    <w:rsid w:val="005A6058"/>
    <w:rsid w:val="005A61E3"/>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90A"/>
    <w:rsid w:val="005C3E35"/>
    <w:rsid w:val="005C415B"/>
    <w:rsid w:val="005C4621"/>
    <w:rsid w:val="005C50CE"/>
    <w:rsid w:val="005C516A"/>
    <w:rsid w:val="005C5471"/>
    <w:rsid w:val="005C5BD2"/>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70043"/>
    <w:rsid w:val="00670133"/>
    <w:rsid w:val="0067018A"/>
    <w:rsid w:val="00670314"/>
    <w:rsid w:val="00670581"/>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0C87"/>
    <w:rsid w:val="006C1E93"/>
    <w:rsid w:val="006C289D"/>
    <w:rsid w:val="006C3153"/>
    <w:rsid w:val="006C3A7D"/>
    <w:rsid w:val="006C4A93"/>
    <w:rsid w:val="006C4D38"/>
    <w:rsid w:val="006C4EF9"/>
    <w:rsid w:val="006C5229"/>
    <w:rsid w:val="006C5232"/>
    <w:rsid w:val="006C53B9"/>
    <w:rsid w:val="006C5685"/>
    <w:rsid w:val="006C5808"/>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12AF"/>
    <w:rsid w:val="006E150F"/>
    <w:rsid w:val="006E17BE"/>
    <w:rsid w:val="006E1ED7"/>
    <w:rsid w:val="006E210D"/>
    <w:rsid w:val="006E2C8E"/>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559"/>
    <w:rsid w:val="007061BE"/>
    <w:rsid w:val="00706264"/>
    <w:rsid w:val="0070643B"/>
    <w:rsid w:val="00706717"/>
    <w:rsid w:val="00710712"/>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BA"/>
    <w:rsid w:val="00724A13"/>
    <w:rsid w:val="00724CB2"/>
    <w:rsid w:val="00724FC7"/>
    <w:rsid w:val="007252D7"/>
    <w:rsid w:val="0072532A"/>
    <w:rsid w:val="00725486"/>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E38"/>
    <w:rsid w:val="00744079"/>
    <w:rsid w:val="00744A3B"/>
    <w:rsid w:val="00744D83"/>
    <w:rsid w:val="007457EA"/>
    <w:rsid w:val="007459A4"/>
    <w:rsid w:val="00745A9B"/>
    <w:rsid w:val="00745CB8"/>
    <w:rsid w:val="00745FB2"/>
    <w:rsid w:val="00746010"/>
    <w:rsid w:val="0074635C"/>
    <w:rsid w:val="00746EC7"/>
    <w:rsid w:val="0074764E"/>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3AE0"/>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14D6"/>
    <w:rsid w:val="00891908"/>
    <w:rsid w:val="00891AFE"/>
    <w:rsid w:val="00891B4F"/>
    <w:rsid w:val="00891EE5"/>
    <w:rsid w:val="00891FF8"/>
    <w:rsid w:val="008921F1"/>
    <w:rsid w:val="0089224B"/>
    <w:rsid w:val="0089248B"/>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3A04"/>
    <w:rsid w:val="008B3D15"/>
    <w:rsid w:val="008B4139"/>
    <w:rsid w:val="008B4338"/>
    <w:rsid w:val="008B43CE"/>
    <w:rsid w:val="008B4637"/>
    <w:rsid w:val="008B4CD9"/>
    <w:rsid w:val="008B4EB5"/>
    <w:rsid w:val="008B50AF"/>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2B9E"/>
    <w:rsid w:val="008C3815"/>
    <w:rsid w:val="008C394E"/>
    <w:rsid w:val="008C4845"/>
    <w:rsid w:val="008C6B9B"/>
    <w:rsid w:val="008C6EC5"/>
    <w:rsid w:val="008C7082"/>
    <w:rsid w:val="008C7C5B"/>
    <w:rsid w:val="008D010A"/>
    <w:rsid w:val="008D013F"/>
    <w:rsid w:val="008D0596"/>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530"/>
    <w:rsid w:val="00900B8B"/>
    <w:rsid w:val="00900F75"/>
    <w:rsid w:val="00901491"/>
    <w:rsid w:val="00901A77"/>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B16"/>
    <w:rsid w:val="00923DD6"/>
    <w:rsid w:val="00923EBB"/>
    <w:rsid w:val="0092424B"/>
    <w:rsid w:val="00924940"/>
    <w:rsid w:val="0092496A"/>
    <w:rsid w:val="00924CE0"/>
    <w:rsid w:val="00925025"/>
    <w:rsid w:val="00925097"/>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EDC"/>
    <w:rsid w:val="00951127"/>
    <w:rsid w:val="00951409"/>
    <w:rsid w:val="0095159E"/>
    <w:rsid w:val="00951B32"/>
    <w:rsid w:val="00951DC7"/>
    <w:rsid w:val="009522A5"/>
    <w:rsid w:val="009522B6"/>
    <w:rsid w:val="00952700"/>
    <w:rsid w:val="009534EC"/>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BBE"/>
    <w:rsid w:val="009615BD"/>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31B"/>
    <w:rsid w:val="00971376"/>
    <w:rsid w:val="0097142D"/>
    <w:rsid w:val="0097188F"/>
    <w:rsid w:val="00971E70"/>
    <w:rsid w:val="00971F0D"/>
    <w:rsid w:val="00971F6C"/>
    <w:rsid w:val="009726C2"/>
    <w:rsid w:val="009726D3"/>
    <w:rsid w:val="00972DAF"/>
    <w:rsid w:val="00972EDA"/>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1694"/>
    <w:rsid w:val="00981836"/>
    <w:rsid w:val="00982128"/>
    <w:rsid w:val="0098221A"/>
    <w:rsid w:val="009826D5"/>
    <w:rsid w:val="00982BD4"/>
    <w:rsid w:val="00982FE9"/>
    <w:rsid w:val="00983A32"/>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F9"/>
    <w:rsid w:val="009A1E17"/>
    <w:rsid w:val="009A207F"/>
    <w:rsid w:val="009A228A"/>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4066"/>
    <w:rsid w:val="009E451F"/>
    <w:rsid w:val="009E454A"/>
    <w:rsid w:val="009E4B4B"/>
    <w:rsid w:val="009E51F7"/>
    <w:rsid w:val="009E542E"/>
    <w:rsid w:val="009E5606"/>
    <w:rsid w:val="009E591C"/>
    <w:rsid w:val="009E5B0B"/>
    <w:rsid w:val="009E5F3B"/>
    <w:rsid w:val="009E6D4C"/>
    <w:rsid w:val="009E7AF2"/>
    <w:rsid w:val="009E7CB0"/>
    <w:rsid w:val="009E7E60"/>
    <w:rsid w:val="009F0623"/>
    <w:rsid w:val="009F0D3D"/>
    <w:rsid w:val="009F1B06"/>
    <w:rsid w:val="009F262B"/>
    <w:rsid w:val="009F2953"/>
    <w:rsid w:val="009F29FA"/>
    <w:rsid w:val="009F2AF0"/>
    <w:rsid w:val="009F2EE6"/>
    <w:rsid w:val="009F2F6A"/>
    <w:rsid w:val="009F2FB0"/>
    <w:rsid w:val="009F30F6"/>
    <w:rsid w:val="009F3136"/>
    <w:rsid w:val="009F3156"/>
    <w:rsid w:val="009F3AB0"/>
    <w:rsid w:val="009F427A"/>
    <w:rsid w:val="009F4A14"/>
    <w:rsid w:val="009F4B2C"/>
    <w:rsid w:val="009F4D85"/>
    <w:rsid w:val="009F52AD"/>
    <w:rsid w:val="009F537D"/>
    <w:rsid w:val="009F5B74"/>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C88"/>
    <w:rsid w:val="00A27144"/>
    <w:rsid w:val="00A27360"/>
    <w:rsid w:val="00A278EA"/>
    <w:rsid w:val="00A30CB5"/>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F0E"/>
    <w:rsid w:val="00A82274"/>
    <w:rsid w:val="00A829E8"/>
    <w:rsid w:val="00A82B16"/>
    <w:rsid w:val="00A83081"/>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E89"/>
    <w:rsid w:val="00A92FD2"/>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7C79"/>
    <w:rsid w:val="00BB0006"/>
    <w:rsid w:val="00BB00D8"/>
    <w:rsid w:val="00BB0541"/>
    <w:rsid w:val="00BB08B5"/>
    <w:rsid w:val="00BB0948"/>
    <w:rsid w:val="00BB0BFD"/>
    <w:rsid w:val="00BB0FF6"/>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8C3"/>
    <w:rsid w:val="00C12D47"/>
    <w:rsid w:val="00C13F25"/>
    <w:rsid w:val="00C1461A"/>
    <w:rsid w:val="00C14CB6"/>
    <w:rsid w:val="00C1525D"/>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2A3"/>
    <w:rsid w:val="00C6038D"/>
    <w:rsid w:val="00C60551"/>
    <w:rsid w:val="00C60E02"/>
    <w:rsid w:val="00C612B9"/>
    <w:rsid w:val="00C62F9A"/>
    <w:rsid w:val="00C63320"/>
    <w:rsid w:val="00C637D1"/>
    <w:rsid w:val="00C6390E"/>
    <w:rsid w:val="00C64643"/>
    <w:rsid w:val="00C64860"/>
    <w:rsid w:val="00C64913"/>
    <w:rsid w:val="00C65543"/>
    <w:rsid w:val="00C66157"/>
    <w:rsid w:val="00C6668F"/>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2AE"/>
    <w:rsid w:val="00C97310"/>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826"/>
    <w:rsid w:val="00CC190F"/>
    <w:rsid w:val="00CC1F74"/>
    <w:rsid w:val="00CC2D4C"/>
    <w:rsid w:val="00CC2E99"/>
    <w:rsid w:val="00CC2F3D"/>
    <w:rsid w:val="00CC2F91"/>
    <w:rsid w:val="00CC3A20"/>
    <w:rsid w:val="00CC3BDA"/>
    <w:rsid w:val="00CC3D19"/>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24C0"/>
    <w:rsid w:val="00CF2F4C"/>
    <w:rsid w:val="00CF30DE"/>
    <w:rsid w:val="00CF3370"/>
    <w:rsid w:val="00CF342F"/>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48"/>
    <w:rsid w:val="00D119DF"/>
    <w:rsid w:val="00D11EB5"/>
    <w:rsid w:val="00D12069"/>
    <w:rsid w:val="00D12539"/>
    <w:rsid w:val="00D126AB"/>
    <w:rsid w:val="00D13336"/>
    <w:rsid w:val="00D13D76"/>
    <w:rsid w:val="00D1401C"/>
    <w:rsid w:val="00D140EA"/>
    <w:rsid w:val="00D140FA"/>
    <w:rsid w:val="00D142B9"/>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BD6"/>
    <w:rsid w:val="00D5383F"/>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797F"/>
    <w:rsid w:val="00DD7E8E"/>
    <w:rsid w:val="00DD7F13"/>
    <w:rsid w:val="00DE0708"/>
    <w:rsid w:val="00DE0931"/>
    <w:rsid w:val="00DE117F"/>
    <w:rsid w:val="00DE1323"/>
    <w:rsid w:val="00DE168E"/>
    <w:rsid w:val="00DE1809"/>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F23"/>
    <w:rsid w:val="00E1645B"/>
    <w:rsid w:val="00E16778"/>
    <w:rsid w:val="00E1677F"/>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E77"/>
    <w:rsid w:val="00E644E0"/>
    <w:rsid w:val="00E64765"/>
    <w:rsid w:val="00E65690"/>
    <w:rsid w:val="00E65C19"/>
    <w:rsid w:val="00E66124"/>
    <w:rsid w:val="00E66A4A"/>
    <w:rsid w:val="00E66AAD"/>
    <w:rsid w:val="00E66D57"/>
    <w:rsid w:val="00E67063"/>
    <w:rsid w:val="00E67076"/>
    <w:rsid w:val="00E67635"/>
    <w:rsid w:val="00E67ECE"/>
    <w:rsid w:val="00E67EE4"/>
    <w:rsid w:val="00E71756"/>
    <w:rsid w:val="00E71B18"/>
    <w:rsid w:val="00E7238A"/>
    <w:rsid w:val="00E72A30"/>
    <w:rsid w:val="00E73BCF"/>
    <w:rsid w:val="00E73D0E"/>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3B7A"/>
    <w:rsid w:val="00E84070"/>
    <w:rsid w:val="00E840B2"/>
    <w:rsid w:val="00E84146"/>
    <w:rsid w:val="00E8458F"/>
    <w:rsid w:val="00E84606"/>
    <w:rsid w:val="00E8516B"/>
    <w:rsid w:val="00E852E7"/>
    <w:rsid w:val="00E85EB0"/>
    <w:rsid w:val="00E862F2"/>
    <w:rsid w:val="00E866AE"/>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A77"/>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A7"/>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776"/>
    <w:rsid w:val="00F24C26"/>
    <w:rsid w:val="00F257C9"/>
    <w:rsid w:val="00F2634E"/>
    <w:rsid w:val="00F26507"/>
    <w:rsid w:val="00F26760"/>
    <w:rsid w:val="00F302F4"/>
    <w:rsid w:val="00F30446"/>
    <w:rsid w:val="00F30C5B"/>
    <w:rsid w:val="00F30C7A"/>
    <w:rsid w:val="00F30F74"/>
    <w:rsid w:val="00F316B9"/>
    <w:rsid w:val="00F32906"/>
    <w:rsid w:val="00F32E74"/>
    <w:rsid w:val="00F3316D"/>
    <w:rsid w:val="00F33811"/>
    <w:rsid w:val="00F33BFB"/>
    <w:rsid w:val="00F34303"/>
    <w:rsid w:val="00F3584B"/>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9B7"/>
    <w:rsid w:val="00F56111"/>
    <w:rsid w:val="00F565A2"/>
    <w:rsid w:val="00F565B7"/>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826"/>
    <w:rsid w:val="00F76900"/>
    <w:rsid w:val="00F76EC5"/>
    <w:rsid w:val="00F76F30"/>
    <w:rsid w:val="00F77219"/>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43A1"/>
    <w:rsid w:val="00F847C8"/>
    <w:rsid w:val="00F84B55"/>
    <w:rsid w:val="00F85312"/>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63C"/>
    <w:rsid w:val="00F9566E"/>
    <w:rsid w:val="00F95CB0"/>
    <w:rsid w:val="00F96981"/>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otredame.edu.au/" TargetMode="External"/><Relationship Id="rId21" Type="http://schemas.openxmlformats.org/officeDocument/2006/relationships/hyperlink" Target="https://www.griffith.edu.au/" TargetMode="External"/><Relationship Id="rId42" Type="http://schemas.openxmlformats.org/officeDocument/2006/relationships/image" Target="media/image8.gif"/><Relationship Id="rId47" Type="http://schemas.openxmlformats.org/officeDocument/2006/relationships/hyperlink" Target="https://www.rmit.edu.au/study-with-us/levels-of-study/undergraduate-study/bachelor-degrees/bachelor-of-design-animation-and-interactive-media-bp203" TargetMode="External"/><Relationship Id="rId63" Type="http://schemas.openxmlformats.org/officeDocument/2006/relationships/hyperlink" Target="https://adelaideuni.edu.au/about/school/medicine/" TargetMode="External"/><Relationship Id="rId68" Type="http://schemas.openxmlformats.org/officeDocument/2006/relationships/image" Target="media/image10.jpe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elaideuni.edu.au/" TargetMode="External"/><Relationship Id="rId29" Type="http://schemas.openxmlformats.org/officeDocument/2006/relationships/hyperlink" Target="https://www.usc.edu.au/" TargetMode="External"/><Relationship Id="rId11" Type="http://schemas.openxmlformats.org/officeDocument/2006/relationships/image" Target="media/image3.jpeg"/><Relationship Id="rId24" Type="http://schemas.openxmlformats.org/officeDocument/2006/relationships/hyperlink" Target="http://www.une.edu.au/" TargetMode="External"/><Relationship Id="rId32" Type="http://schemas.openxmlformats.org/officeDocument/2006/relationships/hyperlink" Target="https://www.westernsydney.edu.au/" TargetMode="External"/><Relationship Id="rId37" Type="http://schemas.openxmlformats.org/officeDocument/2006/relationships/image" Target="media/image5.jpeg"/><Relationship Id="rId40" Type="http://schemas.openxmlformats.org/officeDocument/2006/relationships/hyperlink" Target="https://www.utas.edu.au/community-and-partners/schools/activities/sciences/maria-island-marine-biology-experience" TargetMode="External"/><Relationship Id="rId45" Type="http://schemas.openxmlformats.org/officeDocument/2006/relationships/hyperlink" Target="https://www.jmcacademy.edu.au/our-courses/animation/bachelor-of-creative-arts-animation/" TargetMode="External"/><Relationship Id="rId53" Type="http://schemas.openxmlformats.org/officeDocument/2006/relationships/hyperlink" Target="https://study.unimelb.edu.au/find/courses/undergraduate/bachelor-of-fine-arts-animation/" TargetMode="External"/><Relationship Id="rId58" Type="http://schemas.openxmlformats.org/officeDocument/2006/relationships/hyperlink" Target="https://adelaideuni.edu.au/life-at-adelaide/campuses/" TargetMode="External"/><Relationship Id="rId66" Type="http://schemas.openxmlformats.org/officeDocument/2006/relationships/hyperlink" Target="https://adelaideuni.edu.au/study/scholarships/" TargetMode="External"/><Relationship Id="rId5" Type="http://schemas.openxmlformats.org/officeDocument/2006/relationships/webSettings" Target="webSettings.xml"/><Relationship Id="rId61" Type="http://schemas.openxmlformats.org/officeDocument/2006/relationships/hyperlink" Target="https://adelaideuni.edu.au/about/colleges-schools/" TargetMode="External"/><Relationship Id="rId19" Type="http://schemas.openxmlformats.org/officeDocument/2006/relationships/hyperlink" Target="https://www.curtin.edu.au/" TargetMode="External"/><Relationship Id="rId14" Type="http://schemas.openxmlformats.org/officeDocument/2006/relationships/hyperlink" Target="https://www.ucat.edu.au/ucat-anz/practice-tests/" TargetMode="External"/><Relationship Id="rId22" Type="http://schemas.openxmlformats.org/officeDocument/2006/relationships/hyperlink" Target="https://www.monash.edu/" TargetMode="External"/><Relationship Id="rId27" Type="http://schemas.openxmlformats.org/officeDocument/2006/relationships/hyperlink" Target="https://www.uq.edu.au/" TargetMode="External"/><Relationship Id="rId30" Type="http://schemas.openxmlformats.org/officeDocument/2006/relationships/hyperlink" Target="http://www.utas.edu.au/" TargetMode="External"/><Relationship Id="rId35" Type="http://schemas.openxmlformats.org/officeDocument/2006/relationships/image" Target="media/image4.jpeg"/><Relationship Id="rId43" Type="http://schemas.openxmlformats.org/officeDocument/2006/relationships/hyperlink" Target="http://www.vtac.edu.au/" TargetMode="External"/><Relationship Id="rId48" Type="http://schemas.openxmlformats.org/officeDocument/2006/relationships/hyperlink" Target="https://www.rmit.edu.au/study-with-us/levels-of-study/undergraduate-study/bachelor-degrees/bachelor-of-design-games-bp214" TargetMode="External"/><Relationship Id="rId56" Type="http://schemas.openxmlformats.org/officeDocument/2006/relationships/hyperlink" Target="https://adelaideuni.edu.au/about/" TargetMode="External"/><Relationship Id="rId64" Type="http://schemas.openxmlformats.org/officeDocument/2006/relationships/hyperlink" Target="https://adelaideuni.edu.au/about/school/animal-and-veterinary-sciences/" TargetMode="External"/><Relationship Id="rId69" Type="http://schemas.openxmlformats.org/officeDocument/2006/relationships/image" Target="media/image11.jpeg"/><Relationship Id="rId8" Type="http://schemas.openxmlformats.org/officeDocument/2006/relationships/image" Target="media/image1.jpeg"/><Relationship Id="rId51" Type="http://schemas.openxmlformats.org/officeDocument/2006/relationships/hyperlink" Target="https://www.swinburne.edu.au/course/undergraduate/bachelor-of-games-and-interactivity-bachelor-of-animation/"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ucat.edu.au/ucat-anz/universities/" TargetMode="External"/><Relationship Id="rId17" Type="http://schemas.openxmlformats.org/officeDocument/2006/relationships/hyperlink" Target="https://www.cqu.edu.au/" TargetMode="External"/><Relationship Id="rId25" Type="http://schemas.openxmlformats.org/officeDocument/2006/relationships/hyperlink" Target="https://www.unsw.edu.au/" TargetMode="External"/><Relationship Id="rId33" Type="http://schemas.openxmlformats.org/officeDocument/2006/relationships/hyperlink" Target="https://www.auckland.ac.nz/en.html" TargetMode="External"/><Relationship Id="rId38" Type="http://schemas.openxmlformats.org/officeDocument/2006/relationships/hyperlink" Target="https://www.adfcareers.gov.au/careers/gap-year" TargetMode="External"/><Relationship Id="rId46" Type="http://schemas.openxmlformats.org/officeDocument/2006/relationships/hyperlink" Target="https://www.monash.edu/study/courses/find-a-course/design-f2010" TargetMode="External"/><Relationship Id="rId59" Type="http://schemas.openxmlformats.org/officeDocument/2006/relationships/hyperlink" Target="https://adelaideuni.edu.au/life-at-adelaide/accommodation/" TargetMode="External"/><Relationship Id="rId67" Type="http://schemas.openxmlformats.org/officeDocument/2006/relationships/hyperlink" Target="https://adelaideuni.edu.au/study/global-learning/" TargetMode="External"/><Relationship Id="rId20" Type="http://schemas.openxmlformats.org/officeDocument/2006/relationships/hyperlink" Target="https://www.flinders.edu.au/" TargetMode="External"/><Relationship Id="rId41" Type="http://schemas.openxmlformats.org/officeDocument/2006/relationships/image" Target="media/image7.png"/><Relationship Id="rId54" Type="http://schemas.openxmlformats.org/officeDocument/2006/relationships/image" Target="media/image9.png"/><Relationship Id="rId62" Type="http://schemas.openxmlformats.org/officeDocument/2006/relationships/hyperlink" Target="https://adelaideuni.edu.au/about/school/dentistry/"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cat.edu.au/" TargetMode="External"/><Relationship Id="rId23" Type="http://schemas.openxmlformats.org/officeDocument/2006/relationships/hyperlink" Target="https://www.newcastle.edu.au/" TargetMode="External"/><Relationship Id="rId28" Type="http://schemas.openxmlformats.org/officeDocument/2006/relationships/hyperlink" Target="https://www.unisq.edu.au/" TargetMode="External"/><Relationship Id="rId36" Type="http://schemas.openxmlformats.org/officeDocument/2006/relationships/hyperlink" Target="https://sydney.edu.au/study/how-to-apply/admission-pathways/academic-excellence-scheme.html" TargetMode="External"/><Relationship Id="rId49" Type="http://schemas.openxmlformats.org/officeDocument/2006/relationships/hyperlink" Target="https://sae.edu.au/courses/animation/bachelor-of-animation/" TargetMode="External"/><Relationship Id="rId57" Type="http://schemas.openxmlformats.org/officeDocument/2006/relationships/hyperlink" Target="https://go8.edu.au/" TargetMode="External"/><Relationship Id="rId10" Type="http://schemas.openxmlformats.org/officeDocument/2006/relationships/hyperlink" Target="http://www.go8.edu.au/" TargetMode="External"/><Relationship Id="rId31" Type="http://schemas.openxmlformats.org/officeDocument/2006/relationships/hyperlink" Target="https://www.uwa.edu.au/" TargetMode="External"/><Relationship Id="rId44" Type="http://schemas.openxmlformats.org/officeDocument/2006/relationships/hyperlink" Target="https://www.deakin.edu.au/course/bachelor-film-television-and-animation" TargetMode="External"/><Relationship Id="rId52" Type="http://schemas.openxmlformats.org/officeDocument/2006/relationships/hyperlink" Target="https://www.swinburne.edu.au/course/undergraduate/bachelor-of-games-and-interactivity/?seid=ch_refer%7Ccamp_std%7Csrc_vtac%7Caud_yr12%7Ccre_art_con%7C122" TargetMode="External"/><Relationship Id="rId60" Type="http://schemas.openxmlformats.org/officeDocument/2006/relationships/hyperlink" Target="https://adelaideuni.edu.au/partners-and-community/global-partnerships/" TargetMode="External"/><Relationship Id="rId65" Type="http://schemas.openxmlformats.org/officeDocument/2006/relationships/hyperlink" Target="https://adelaideuni.edu.au/partners-and-community/volunteer/"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ucat.edu.au/ucat-anz/test-format/" TargetMode="External"/><Relationship Id="rId18" Type="http://schemas.openxmlformats.org/officeDocument/2006/relationships/hyperlink" Target="https://www.csu.edu.au/" TargetMode="External"/><Relationship Id="rId39" Type="http://schemas.openxmlformats.org/officeDocument/2006/relationships/image" Target="media/image6.jpeg"/><Relationship Id="rId34" Type="http://schemas.openxmlformats.org/officeDocument/2006/relationships/hyperlink" Target="https://www.otago.ac.nz/" TargetMode="External"/><Relationship Id="rId50" Type="http://schemas.openxmlformats.org/officeDocument/2006/relationships/hyperlink" Target="https://www.swinburne.edu.au/course/undergraduate/bachelor-of-animation/?seid=ch_refer%7Ccamp_std%7Csrc_vtac%7Caud_yr12%7Ccre_art_con%7C118" TargetMode="External"/><Relationship Id="rId55" Type="http://schemas.openxmlformats.org/officeDocument/2006/relationships/hyperlink" Target="https://adelaideuni.edu.au/"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1812</Words>
  <Characters>14091</Characters>
  <Application>Microsoft Office Word</Application>
  <DocSecurity>0</DocSecurity>
  <Lines>402</Lines>
  <Paragraphs>184</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15719</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3</cp:revision>
  <cp:lastPrinted>2015-02-02T01:43:00Z</cp:lastPrinted>
  <dcterms:created xsi:type="dcterms:W3CDTF">2026-02-05T05:34:00Z</dcterms:created>
  <dcterms:modified xsi:type="dcterms:W3CDTF">2026-02-05T05:35:00Z</dcterms:modified>
</cp:coreProperties>
</file>