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Sunshine Heights Primary School (4744)</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A66941"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A66941"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07 April 2022 at 01:47 PM by David Cocks (Principal)</w:t>
                                        </w:r>
                                      </w:p>
                                    </w:tc>
                                  </w:tr>
                                </w:tbl>
                                <w:p w:rsidR="00A6694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A66941"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2022 at 04:23 PM by Sarah Weston (School Council President)</w:t>
                                        </w:r>
                                      </w:p>
                                    </w:tc>
                                  </w:tr>
                                </w:tbl>
                                <w:p w:rsidR="00A6694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11pt;margin-top:131.2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A66941"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A66941"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07 April 2022 at 01:47 PM by David Cocks (Principal)</w:t>
                                  </w:r>
                                </w:p>
                              </w:tc>
                            </w:tr>
                          </w:tbl>
                          <w:p w:rsidR="00A6694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A66941"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2022 at 04:23 PM by Sarah Weston (School Council President)</w:t>
                                  </w:r>
                                </w:p>
                              </w:tc>
                            </w:tr>
                          </w:tbl>
                          <w:p w:rsidR="00A66941" w:rsidP="00177D7F"/>
                        </w:txbxContent>
                      </v:textbox>
                      <w10:wrap anchorx="margin"/>
                    </v:shape>
                  </w:pict>
                </mc:Fallback>
              </mc:AlternateContent>
            </w:r>
            <w:r w:rsidR="00CD3C95">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190791" cy="1428949"/>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190791" cy="1428949"/>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5568AC" w:rsidP="0050417D">
      <w:pPr>
        <w:pStyle w:val="ESHeading10"/>
        <w:spacing w:after="0" w:line="240" w:lineRule="auto"/>
      </w:pPr>
      <w:r>
        <w:t>How to read the Annual Report</w:t>
      </w:r>
    </w:p>
    <w:p w:rsidR="00737A25" w:rsidRPr="006825C7"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rsidR="00AF4BF6">
        <w:t xml:space="preserve">commentary </w:t>
      </w:r>
      <w:r w:rsidRPr="006825C7">
        <w:t>section</w:t>
      </w:r>
      <w:r w:rsidR="00AF4BF6">
        <w:t xml:space="preserve"> of this report</w:t>
      </w:r>
      <w:r w:rsidRPr="006825C7">
        <w:t xml:space="preserve"> </w:t>
      </w:r>
      <w:r w:rsidRPr="00B637FF">
        <w:t>refer</w:t>
      </w:r>
      <w:r w:rsidRPr="006825C7">
        <w:t xml:space="preserve"> to?</w:t>
      </w:r>
    </w:p>
    <w:p w:rsidR="00737A25" w:rsidRPr="00783E13" w:rsidP="00737A25">
      <w:pPr>
        <w:pStyle w:val="ESBodyText0"/>
        <w:spacing w:line="240" w:lineRule="auto"/>
      </w:pPr>
      <w:bookmarkStart w:id="0" w:name="_Hlk64366941"/>
      <w:r w:rsidRPr="00783E13">
        <w:t xml:space="preserve">The </w:t>
      </w:r>
      <w:r w:rsidR="00AF4BF6">
        <w:t>‘</w:t>
      </w:r>
      <w:r w:rsidRPr="00783E13">
        <w:t xml:space="preserve">About </w:t>
      </w:r>
      <w:r w:rsidR="00AF4BF6">
        <w:t>o</w:t>
      </w:r>
      <w:r w:rsidRPr="00783E13">
        <w:t xml:space="preserve">ur </w:t>
      </w:r>
      <w:r w:rsidR="00AF4BF6">
        <w:t>s</w:t>
      </w:r>
      <w:r w:rsidRPr="00783E13">
        <w:t>chool</w:t>
      </w:r>
      <w:r w:rsidR="00AF4BF6">
        <w:t>’ commentary</w:t>
      </w:r>
      <w:r w:rsidRPr="00783E13">
        <w:t xml:space="preserve"> provides a brief background on the school, an outline of the school’s performance over the year and future directions.</w:t>
      </w:r>
    </w:p>
    <w:p w:rsidR="00737A25" w:rsidRPr="00783E13" w:rsidP="00737A25">
      <w:pPr>
        <w:pStyle w:val="ESBodyText0"/>
        <w:spacing w:line="240" w:lineRule="auto"/>
      </w:pPr>
      <w:r w:rsidRPr="00783E13">
        <w:t xml:space="preserve">The ‘School Context’ describes the school’s vision, </w:t>
      </w:r>
      <w:r w:rsidRPr="00783E13">
        <w:t>values</w:t>
      </w:r>
      <w:r w:rsidRPr="00783E13">
        <w:t xml:space="preserve"> and purpose. Details include the school’s geographic location, size and structure, social characteristics, enrolment characteristics and special programs.</w:t>
      </w:r>
    </w:p>
    <w:p w:rsidR="00737A25" w:rsidP="00737A25">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r w:rsidR="00AF4BF6">
        <w:t xml:space="preserve"> through the implementation of their School Strategic Plan and Annual Implementation Plan</w:t>
      </w:r>
      <w:r>
        <w:t>.</w:t>
      </w:r>
      <w:bookmarkEnd w:id="0"/>
    </w:p>
    <w:p w:rsidR="00737A25" w:rsidRPr="00620299"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rsidR="00737A25"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737A25" w:rsidP="00737A25">
      <w:pPr>
        <w:spacing w:line="240" w:lineRule="auto"/>
        <w:ind w:left="720"/>
        <w:rPr>
          <w:rFonts w:eastAsia="Arial" w:cs="Times New Roman"/>
          <w:b/>
          <w:color w:val="000000"/>
          <w:szCs w:val="20"/>
        </w:rPr>
      </w:pPr>
      <w:r>
        <w:rPr>
          <w:rFonts w:eastAsia="Arial" w:cs="Times New Roman"/>
          <w:b/>
          <w:color w:val="000000"/>
          <w:szCs w:val="20"/>
        </w:rPr>
        <w:t>School Profile</w:t>
      </w:r>
    </w:p>
    <w:p w:rsidR="00737A2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rsidR="00737A25"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rsidR="00737A25" w:rsidP="00737A25">
      <w:pPr>
        <w:spacing w:line="240" w:lineRule="auto"/>
        <w:ind w:left="720"/>
        <w:rPr>
          <w:rFonts w:eastAsia="Arial" w:cs="Times New Roman"/>
          <w:b/>
          <w:color w:val="000000"/>
          <w:szCs w:val="20"/>
        </w:rPr>
      </w:pPr>
      <w:r>
        <w:rPr>
          <w:rFonts w:eastAsia="Arial" w:cs="Times New Roman"/>
          <w:b/>
          <w:color w:val="000000"/>
          <w:szCs w:val="20"/>
        </w:rPr>
        <w:t>Achievement</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737A25"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rsidR="00737A25"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737A25" w:rsidP="00737A25">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737A25" w:rsidP="00737A25">
      <w:pPr>
        <w:spacing w:line="240" w:lineRule="auto"/>
        <w:ind w:left="720"/>
        <w:rPr>
          <w:rFonts w:eastAsia="Arial" w:cs="Times New Roman"/>
          <w:b/>
          <w:color w:val="000000"/>
          <w:szCs w:val="20"/>
        </w:rPr>
      </w:pPr>
      <w:r>
        <w:rPr>
          <w:rFonts w:eastAsia="Arial" w:cs="Times New Roman"/>
          <w:b/>
          <w:color w:val="000000"/>
          <w:szCs w:val="20"/>
        </w:rPr>
        <w:t>Wellbeing</w:t>
      </w:r>
    </w:p>
    <w:p w:rsidR="00737A25" w:rsidP="00737A2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737A25" w:rsidP="00737A25">
      <w:pPr>
        <w:pStyle w:val="ESBodyText0"/>
        <w:spacing w:after="240" w:line="240" w:lineRule="auto"/>
      </w:pPr>
      <w:r>
        <w:t>Results are displayed for the latest year and the average of the last four years (where available).</w:t>
      </w:r>
      <w:r w:rsidR="00AF4BF6">
        <w:t xml:space="preserve"> </w:t>
      </w:r>
      <w:r w:rsidRPr="00AF4BF6" w:rsidR="00AF4BF6">
        <w:t xml:space="preserve">As NAPLAN tests were not conducted in 2020, the NAPLAN 4-year average is the average of 2018, 2019 and 2021 data in the 2021 </w:t>
      </w:r>
      <w:r w:rsidR="00AF4BF6">
        <w:t>Performance Summary.</w:t>
      </w:r>
    </w:p>
    <w:p w:rsidR="00AF4BF6" w:rsidRPr="001D3C2B" w:rsidP="00AF4BF6">
      <w:pPr>
        <w:pStyle w:val="Style10"/>
        <w:spacing w:before="0" w:after="120"/>
      </w:pPr>
      <w:r w:rsidRPr="00AF4BF6">
        <w:t>Considering COVID-19 when interpreting the Performance Summary</w:t>
      </w:r>
    </w:p>
    <w:p w:rsidR="00AF4BF6" w:rsidRPr="003F1321" w:rsidP="00AF4BF6">
      <w:pPr>
        <w:pStyle w:val="ESBodyText0"/>
        <w:spacing w:line="240" w:lineRule="auto"/>
      </w:pPr>
      <w:bookmarkStart w:id="1" w:name="_Hlk64558266"/>
      <w:bookmarkStart w:id="2" w:name="_Hlk64558033"/>
      <w:r w:rsidRPr="003F1321">
        <w:t>The Victorian community's experience of COVID-19, including remote and flexible learning, had a significant impact on normal school operations</w:t>
      </w:r>
      <w:r>
        <w:t xml:space="preserve"> in 2020 and 2021</w:t>
      </w:r>
      <w:r w:rsidRPr="003F1321">
        <w:t>. This impacted the conduct of assessments and surveys. Readers should be aware of this when interpreting the Performance Summary.</w:t>
      </w:r>
    </w:p>
    <w:p w:rsidR="00AF4BF6" w:rsidP="00AF4BF6">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Absence and attendance data </w:t>
      </w:r>
      <w:r>
        <w:t xml:space="preserve">during this period </w:t>
      </w:r>
      <w:r w:rsidRPr="003F1321">
        <w:t>may have been influenced by local processes and procedures adopted in response to remote and flexible learning.</w:t>
      </w:r>
    </w:p>
    <w:p w:rsidR="00737A25" w:rsidP="00AF4BF6">
      <w:pPr>
        <w:pStyle w:val="ESBodyText0"/>
        <w:spacing w:line="240" w:lineRule="auto"/>
      </w:pPr>
      <w:r w:rsidRPr="003F1321">
        <w:t>Schools should keep this in mind when using this data for planning and evaluation purposes.</w:t>
      </w:r>
      <w:bookmarkEnd w:id="1"/>
      <w:bookmarkEnd w:id="2"/>
      <w:r>
        <w:br w:type="page"/>
      </w:r>
    </w:p>
    <w:p w:rsidR="00E550AF" w:rsidP="00E550AF">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0D7D46"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0D7D46" w:rsidRPr="00783E13"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rsidR="000D7D46"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rsidR="004B0401"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0D7D46"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rsidR="000D7D46"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0D7D46"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0D7D46">
      <w:pPr>
        <w:spacing w:line="240" w:lineRule="auto"/>
        <w:rPr>
          <w:rFonts w:eastAsia="Arial"/>
          <w:color w:val="000000"/>
        </w:rPr>
      </w:pPr>
      <w:r>
        <w:rPr>
          <w:rFonts w:eastAsia="Arial"/>
          <w:color w:val="000000"/>
        </w:rPr>
        <w:t>‘Levels A to D’ may be used for students with disabilit</w:t>
      </w:r>
      <w:r w:rsidR="00AF4BF6">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sidR="00AF4BF6">
        <w:rPr>
          <w:rFonts w:eastAsia="Arial"/>
          <w:color w:val="000000"/>
        </w:rPr>
        <w:t>,</w:t>
      </w:r>
      <w:r>
        <w:rPr>
          <w:rFonts w:eastAsia="Arial"/>
          <w:color w:val="000000"/>
        </w:rPr>
        <w:t xml:space="preserve"> there is no age expected standard of achievement for ‘Levels A to D’)</w:t>
      </w:r>
      <w:r w:rsidR="005568AC">
        <w:rPr>
          <w:rFonts w:eastAsia="Arial"/>
          <w:color w:val="000000"/>
        </w:rPr>
        <w:t>.</w:t>
      </w:r>
    </w:p>
    <w:p w:rsidR="005D27E5" w:rsidP="0050417D">
      <w:pPr>
        <w:spacing w:line="240" w:lineRule="auto"/>
        <w:sectPr w:rsidSect="008549C1">
          <w:headerReference w:type="default" r:id="rId17"/>
          <w:footerReference w:type="default" r:id="rId18"/>
          <w:headerReference w:type="first" r:id="rId19"/>
          <w:pgSz w:w="11900" w:h="16840"/>
          <w:pgMar w:top="1276" w:right="567" w:bottom="709" w:left="567" w:header="142" w:footer="325" w:gutter="0"/>
          <w:cols w:space="397"/>
          <w:docGrid w:linePitch="360"/>
        </w:sectPr>
      </w:pPr>
      <w:r>
        <w:br w:type="page"/>
      </w:r>
    </w:p>
    <w:p w:rsidR="0038585D" w:rsidRPr="004A27D4"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774"/>
      </w:tblGrid>
      <w:tr w:rsidTr="007B205B">
        <w:tblPrEx>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Ex>
        <w:trPr>
          <w:trHeight w:val="15"/>
        </w:trPr>
        <w:tc>
          <w:tcPr>
            <w:tcW w:w="10774" w:type="dxa"/>
            <w:shd w:val="clear" w:color="auto" w:fill="auto"/>
          </w:tcPr>
          <w:p w:rsidR="00777DB2" w:rsidRPr="001C2589" w:rsidP="00F748EB">
            <w:pPr>
              <w:pStyle w:val="Style1"/>
              <w:spacing w:before="0"/>
              <w:jc w:val="both"/>
              <w:rPr>
                <w:szCs w:val="24"/>
              </w:rPr>
            </w:pPr>
            <w:r w:rsidRPr="009E3F78">
              <w:rPr>
                <w:szCs w:val="24"/>
              </w:rPr>
              <w:t>School context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Our School would like to begin by recognising the traditional owners of the land on which we work, learn and play, the First Nations Peoples of the Kulin Nation; we pay our respects to elders past, present and emerging, and to both our Koorie students, their families and other Aboriginal and Torres Strait Islander peoples who may read this report. Sunshine Heights Primary School is based in Sunshine West near the banks of the Kororoit Creek. This is a journey place; the First Nations People of the area used the creek as path from Altona Beach to the volcanic plains of Western Victoria. We view Sunshine Heights as a journey place for each of our students, families and staff, and seek to empower all who walk alongside us with the knowledge, skills and passion to create our future together. </w:t>
              <w:br/>
              <w:br/>
              <w:t>Our School Values continue to frame the learning and living we undertake at Sunshine Heights Primary School: Commitment, Courage, Connection and Collaboration. These are further framed in our school aspiration that connects to creativity and courage, whilst preparing our students to discover and refine their personal identities at Sunshine Heights:</w:t>
              <w:br/>
              <w:br/>
              <w:t xml:space="preserve">Sail into a universe of possibility, </w:t>
              <w:br/>
              <w:t>Delve into the unlimited energy of the human imagination,</w:t>
              <w:br/>
              <w:t>Inspire and grow hearts and minds,</w:t>
              <w:br/>
              <w:t>Nurture creativity and curiosity</w:t>
              <w:br/>
              <w:t>Through courage, connection, commitment and collaboration,</w:t>
              <w:br/>
              <w:t>Discover the wonder and uniqueness in you;</w:t>
              <w:br/>
              <w:t>Welcome to Sunshine Heights Primary School.</w:t>
              <w:br/>
              <w:br/>
              <w:t>We are a deeply passionate community of 375 students, around 270 families, 28 teaching staff and 13 support staff. Our FTE staffing is 23.6 FTE Teachers, with two principal class members. Our leadership team also has a Lead Teacher Wellbeing, Inclusion and Community, and a Lead Teacher Curriculum and Coaching (0.6).</w:t>
              <w:br/>
              <w:br/>
              <w:t>Our community is deeply connected and has great diversity, whilst also being representative of our geographical location; the urban sprawl from Melbourne is ever increasing our SFOE and gradually changing the area demographic. Our student enrolment demographics show 37% of students recognised as having social disadvantage and receiving equity funding. 32% of the school are eligible for English as an Additional Background (EAL) funding, though this does not recognise the 43 language groups represented in our community and our cultural diversity of which we are exceptionally proud. 3% of the student population is funded through the Program for Students with Disabilities.</w:t>
              <w:br/>
              <w:br/>
              <w:t xml:space="preserve">We have one student currently enrolled from overseas and they are integrated into our grade 4 program with a part time Educational Support Officer (Teacher Aide/Learning Support) funded through the Department of Education. </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Framework for Improving Student Outcomes (FISO)</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2021 was our year of review. We worked through finalising our progress towards our Goals which had been impacted in the latter part of the Strategic Plan by COVID lockdowns. The main areas impacted were our coaching program, implementation of aligned common assessment tasks with our GVC, and building an holistic wellbeing and intervention framework. This last area was impacted by a change of staffing as well as the impacts of COVID. Our appointment in 2021 of a Wellbeing Lead Teacher who has subsequently been driving this work has meant many of the aspects of improvement from the last strategic plan and feedback from the review could be embedded into our new strategic plan. The work we undertook in 2021 to create a Wellbeing Vision for the future has meant that the school is well aligned for the transition to FISO 2.0 with a core focused on Wellbeing, and Social and Emotional literacy.</w:t>
              <w:br/>
              <w:t xml:space="preserve">The new strategic plan has three succinct goals: </w:t>
              <w:br/>
              <w:t>To improve learning outcomes for every student in Literacy and Numeracy.</w:t>
              <w:br/>
              <w:t>To empower every student as active partners in their learning.</w:t>
              <w:br/>
              <w:t>To strengthen student identity, engagement and wellbeing.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Achievement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During the remote learning periods of 2021, teachers and students shifted to remote learning with around 30-40 students requiring supervision at school. Whilst some students responded to the self-organisation and motivation requirements of this learning, it must be acknowledged that this did not suit all students. Those particularly at risk of disengaging and falling behind with literacy and numeracy were students whose backgrounds were lower socioeconomic-economic, EAL or those who live across two homes. This has informed our tutor program for 2022 and will help to ensure that we target support for these students. </w:t>
              <w:br/>
              <w:t xml:space="preserve">Teacher judgements for literacy and numeracy are not as aligned in 2021 as we would have hoped, due greatly to the fact that students were able to participate in NAPLAN, but teachers had a greatly reduced opportunity to assess students using Fountas and Pinnell assessments in term 2 for reporting. We brought Progressive Achievement Test (PAT) Assessments for Reading and Maths into the school in term 4 to support greater triangulation of data and gain more consistent judgements moving forwards. </w:t>
              <w:br/>
              <w:t xml:space="preserve">Student achievement in NAPLAN had us at similar levels to similar schools in Reading at Grade 3, and just below similar schools in grade 5. This has provided the impetus for work in 2022 on reviewing and aligning the school GVC with the best and current research. NAPLAN Writing achievement had us above similar schools in grade 3 and significantly above similar schools, our network and the state at grade 5. NAPLAN Numeracy at grade 3 is above similar school and our network, but this did not sustain in grade 5 where students performed below similar schools. We have therefore implemented maths coaching across the school in 2022 to ensure expectations remain high across the middle and later years of schooling. </w:t>
              <w:br/>
              <w:t xml:space="preserve">Students on the Portfolio of Students with Disabilities have been supported through provision of supervision during lockdowns in 2021, with our ES staff supporting both online daily group sessions and in person support at school. These students were tracked through Student Support Groups and our usual reporting processes to parents. Our PSD students often found the disruption to patterns of learning and routines particularly challenging during 2021, with the challenge to their social and emotional needs impacting achievement during these periods of remote learning. Two of our 2021 prep students are funded at level 4 and have significant needs, resulting in greater challenges for these students during and when returning from remote learning. </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Student Engagement during period of remote learning went through phases of disconnection relative to the length of the remote learning time periods and age of the students. Preps initially were highly connected and enjoyed some of the novelty of the remote learning experience, but due to lower reading levels and additional challenges for parents (for example, EAL backgrounds or parents working full time from home) often found that the engagement levels dropped off. the higher grades of students who had been through remote learning in previous terms, found that engagement levels remained relatively constant, though there were consistent students who had not engaged well with remote learning in 2020 and who also not engage during 2021. As such our leadership made frequent calls to parents to support connection on a case management basis. </w:t>
              <w:br/>
              <w:t xml:space="preserve">Once back on site, we had a number of students whose parents were nervous about the return to face-to-face learning and who have been slowly making a return as time progressed. Staff teams in PLCs have identified students at risk of disengagement and these students are regularly discussed and actions taken at leadership and through team meetings. </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Wellbeing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 xml:space="preserve">Health and Wellbeing were prioritised for students, staff and families during 2021. Part of this work was implemented through relationships with Monash University and Victoria University with an Art Therapist student, Occupational Therapist students and Social Work students. Alongside this the employment of a Lead Teacher Wellbeing, Inclusion and Community has meant that targeted support has been provided to students and families, linking them to services and starting the process for additional department provided support plans. In term 4 student wellbeing concerns were flagged by staff and families as part of a 'blitz' on wellbeing, and each week our Wellbeing LT provided professional learning supports and advice to staff to give a suite of responses to address any issues proactively. </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Finance performance and position</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The school has continued to perform well with financial commitments and finished the year with a $76 000 surplus. Part of the reason for this was a number of program based investments and resources were not spent due to the significant amount of time that students spent remote learning. Expenditure related to community events were held over, including our Spanish Fiesta and Twilight School. Impacts of increased CRT costs due to COVID exposures and the next to isolate due to any symptoms were offset in part by the ability of staff to continue to work remotely if they were ill, providing online tuition and support for students learning from home. </w:t>
              <w:br/>
              <w:t xml:space="preserve">Significant expenditures include the purchase and installation of air conditioning in the gym, the purchase of a coffee machine to support student curriculum for PSD students in grade 5/6, and purchasing related to the implementation of the Sounds Write program in years P - 2. </w:t>
              <w:br/>
              <w:t>External investments and funding include $200 000 for the Inclusive Schools Play Space at the front of the school (to be built 2022), circa $7000 from Junior Landcare for the Nugal-nanjin Specialist Garden, and $20 000 from Brimbank Council for the Mental Health Festival (delivered March 2022).</w:t>
              <w:br/>
              <w:t xml:space="preserve">Internal Fundraising by School Council totalled circa $1 400 for the Bunnings BBQ to provide funds for the Nugal-nanjin garden. </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"https://www.sunshineheightsps.vic.edu.au" </w:instrText>
            </w:r>
            <w:r>
              <w:rPr>
                <w:rFonts w:eastAsia="Arial"/>
                <w:b/>
                <w:bCs/>
                <w:sz w:val="22"/>
                <w:szCs w:val="22"/>
              </w:rPr>
              <w:fldChar w:fldCharType="separate"/>
            </w:r>
            <w:r>
              <w:rPr>
                <w:rFonts w:eastAsia="Arial"/>
                <w:b/>
                <w:bCs/>
                <w:color w:val="0000EE"/>
                <w:sz w:val="22"/>
                <w:szCs w:val="22"/>
                <w:u w:val="single"/>
              </w:rPr>
              <w:t>https://www.sunshineheightsps.vic.edu.au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5D3640">
          <w:headerReference w:type="default" r:id="rId20"/>
          <w:footerReference w:type="default" r:id="rId21"/>
          <w:headerReference w:type="first" r:id="rId22"/>
          <w:pgSz w:w="11906" w:h="16838" w:code="9"/>
          <w:pgMar w:top="2036" w:right="1240" w:bottom="1304" w:left="1304" w:header="624" w:footer="532" w:gutter="0"/>
          <w:cols w:space="397"/>
          <w:docGrid w:linePitch="360"/>
        </w:sectPr>
      </w:pPr>
    </w:p>
    <w:p w:rsidR="009E6D61" w:rsidP="00B637FF">
      <w:pPr>
        <w:pStyle w:val="Title"/>
      </w:pPr>
      <w:r>
        <w:t>Performance Summary</w:t>
      </w:r>
    </w:p>
    <w:p w:rsidR="009E6D61">
      <w:pPr>
        <w:pStyle w:val="ESBodyText0"/>
      </w:pPr>
      <w:r>
        <w:t>The Performance Summary</w:t>
      </w:r>
      <w:r w:rsidR="000D7D46">
        <w:t xml:space="preserve"> for government schools</w:t>
      </w:r>
      <w:r>
        <w:t xml:space="preserve"> provides an overview of how this school is contributing to the objectives of the Education State and how it compares to other Victorian </w:t>
      </w:r>
      <w:r w:rsidR="00AF4BF6">
        <w:t>g</w:t>
      </w:r>
      <w:r>
        <w:t>overnment schools.</w:t>
      </w:r>
    </w:p>
    <w:p w:rsidR="009E6D61">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9E6D61">
      <w:pPr>
        <w:pStyle w:val="ESBodyText0"/>
      </w:pPr>
      <w:r>
        <w:t xml:space="preserve">Refer to the </w:t>
      </w:r>
      <w:r w:rsidRPr="000D7D46">
        <w:t xml:space="preserve">‘How to read the Annual Report’ </w:t>
      </w:r>
      <w:r>
        <w:t>section for help on how to interpret this report.</w:t>
      </w:r>
    </w:p>
    <w:p w:rsidR="009E6D61" w:rsidP="00B637FF">
      <w:pPr>
        <w:pStyle w:val="Style10"/>
      </w:pPr>
      <w:r>
        <w:t>SCHOOL PROFILE</w:t>
      </w:r>
    </w:p>
    <w:p w:rsidR="009E6D61" w:rsidP="00B637FF">
      <w:pPr>
        <w:pStyle w:val="ESHeading30"/>
      </w:pPr>
      <w:r>
        <w:t>Enrolment Profile</w:t>
      </w:r>
    </w:p>
    <w:p w:rsidR="009E6D61">
      <w:pPr>
        <w:pStyle w:val="ESBodyText0"/>
      </w:pPr>
      <w:r>
        <w:t xml:space="preserve">A total of </w:t>
      </w:r>
      <w:r>
        <w:t xml:space="preserve"> 393</w:t>
      </w:r>
      <w:r>
        <w:t xml:space="preserve"> students were enrolled at this school in </w:t>
      </w:r>
      <w:r>
        <w:t>2021</w:t>
      </w:r>
      <w:r>
        <w:t xml:space="preserve">, </w:t>
      </w:r>
      <w:r>
        <w:t xml:space="preserve"> 202</w:t>
      </w:r>
      <w:r>
        <w:t xml:space="preserve"> female and </w:t>
      </w:r>
      <w:r>
        <w:t xml:space="preserve"> 191</w:t>
      </w:r>
      <w:r>
        <w:t xml:space="preserve"> male.</w:t>
      </w:r>
    </w:p>
    <w:p w:rsidR="009E6D61">
      <w:pPr>
        <w:pStyle w:val="ESBodyText0"/>
      </w:pPr>
      <w:r>
        <w:t>45</w:t>
      </w:r>
      <w:r w:rsidR="007567CF">
        <w:t xml:space="preserve"> percent of students had English as an additional language and </w:t>
      </w:r>
      <w:r>
        <w:t>NDP</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The overall school’s socio-economic profile is based on the school's Student Family Occupation and Education index (SFOE).</w:t>
      </w:r>
    </w:p>
    <w:p w:rsidR="009E6D61" w:rsidRPr="001C6AF2">
      <w:pPr>
        <w:pStyle w:val="ESBodyText0"/>
      </w:pPr>
      <w:r>
        <w:t>SFOE is a measure of socio-educational disadvantage of a school, based on educational and employment characteristics of the parents/</w:t>
      </w:r>
      <w:r>
        <w:t>carers</w:t>
      </w:r>
      <w:r>
        <w:t xml:space="preserve"> of students enrolled at the school. Possible SFOE band values are: Low, Low-Medium, Medium and High. A ‘Low’ band represents a low level of socio-educational disadvantage, a ‘High’ band represents a high level of socio-educational disadvantage.</w:t>
      </w:r>
    </w:p>
    <w:p w:rsidR="009E6D61" w:rsidRPr="00B637FF">
      <w:pPr>
        <w:pStyle w:val="ESBodyText0"/>
      </w:pPr>
      <w:r w:rsidRPr="001C6AF2">
        <w:t xml:space="preserve">This school’s </w:t>
      </w:r>
      <w:r w:rsidR="00E72DE6">
        <w:t>SFOE</w:t>
      </w:r>
      <w:r w:rsidRPr="001C6AF2">
        <w:t xml:space="preserve"> band value is: </w:t>
      </w:r>
      <w:r>
        <w:t>Medium</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7462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95.0%</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81.8%</w:t>
            </w:r>
          </w:p>
        </w:tc>
      </w:tr>
    </w:tbl>
    <w:p w:rsidR="00001860" w:rsidP="00B55D76">
      <w:pPr>
        <w:pStyle w:val="ESBodyText0"/>
        <w:spacing w:after="0" w:line="240" w:lineRule="auto"/>
      </w:pPr>
    </w:p>
    <w:p w:rsidR="00485F3E"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7360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60976305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83.0%</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75.8%</w:t>
            </w:r>
          </w:p>
        </w:tc>
      </w:tr>
    </w:tbl>
    <w:p w:rsidR="00DF5E8D">
      <w:pPr>
        <w:pStyle w:val="ESBodyText0"/>
        <w:spacing w:after="240"/>
      </w:pPr>
    </w:p>
    <w:p w:rsidR="009E6D61">
      <w:pPr>
        <w:spacing w:after="0" w:line="240" w:lineRule="auto"/>
        <w:rPr>
          <w:u w:val="single"/>
        </w:rPr>
      </w:pPr>
      <w:r>
        <w:rPr>
          <w:u w:val="single"/>
        </w:rPr>
        <w:br w:type="page"/>
      </w:r>
    </w:p>
    <w:p w:rsidR="009E6D61" w:rsidP="00B637FF">
      <w:pPr>
        <w:pStyle w:val="Style10"/>
      </w:pPr>
      <w:r>
        <w:t>ACHIEVEMENT</w:t>
      </w:r>
    </w:p>
    <w:p w:rsidR="004777FF"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P="00F14C40">
      <w:pPr>
        <w:pStyle w:val="ESHeading3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6D6BB2" w:rsidP="00B86B64">
      <w:pPr>
        <w:pStyle w:val="ESBodyText0"/>
        <w:spacing w:after="0" w:line="240" w:lineRule="auto"/>
      </w:pPr>
      <w:r>
        <w:rPr>
          <w:noProof/>
        </w:rPr>
        <w:drawing>
          <wp:anchor distT="0" distB="0" distL="114300" distR="114300" simplePos="0" relativeHeight="25167257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E346A0">
            <w:pPr>
              <w:spacing w:after="0" w:line="240" w:lineRule="auto"/>
              <w:rPr>
                <w:rFonts w:eastAsia="Times New Roman"/>
                <w:b/>
                <w:bCs/>
                <w:color w:val="000000"/>
                <w:lang w:val="en-AU" w:eastAsia="en-AU"/>
              </w:rPr>
            </w:pPr>
            <w:bookmarkStart w:id="3" w:name="_Hlk47698494"/>
            <w:r w:rsidRPr="000E2D23">
              <w:rPr>
                <w:rFonts w:eastAsia="Times New Roman"/>
                <w:b/>
                <w:bCs/>
                <w:color w:val="000000"/>
                <w:lang w:val="en-AU" w:eastAsia="en-AU"/>
              </w:rPr>
              <w:t>English</w:t>
            </w:r>
          </w:p>
          <w:p w:rsidR="00E346A0" w:rsidP="00E346A0">
            <w:pPr>
              <w:pStyle w:val="ESBodyText0"/>
            </w:pPr>
            <w:bookmarkEnd w:id="3"/>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E346A0">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E346A0">
            <w:pPr>
              <w:pStyle w:val="ESBodyText0"/>
              <w:jc w:val="center"/>
            </w:pPr>
            <w:r>
              <w:t>88.6%</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E346A0">
            <w:pPr>
              <w:pStyle w:val="ESBodyText0"/>
              <w:jc w:val="center"/>
              <w:rPr>
                <w:color w:val="FFFFFF" w:themeColor="background1"/>
              </w:rPr>
            </w:pPr>
            <w:r>
              <w:rPr>
                <w:color w:val="FFFFFF" w:themeColor="background1"/>
              </w:rPr>
              <w:t>78.7%</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E346A0">
            <w:pPr>
              <w:pStyle w:val="ESBodyText0"/>
              <w:jc w:val="center"/>
            </w:pPr>
            <w:r>
              <w:t>86.2%</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7155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BA1967">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88.2%</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75.9%</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84.9%</w:t>
            </w:r>
          </w:p>
        </w:tc>
      </w:tr>
    </w:tbl>
    <w:p w:rsidR="00E346A0" w:rsidP="006D6BB2">
      <w:pPr>
        <w:pStyle w:val="ESBodyText0"/>
      </w:pPr>
    </w:p>
    <w:p w:rsidR="00E346A0" w:rsidP="006D6BB2">
      <w:pPr>
        <w:pStyle w:val="ESBodyText0"/>
      </w:pPr>
    </w:p>
    <w:p w:rsidR="00693B34">
      <w:pPr>
        <w:spacing w:after="0" w:line="240" w:lineRule="auto"/>
      </w:pPr>
      <w:r>
        <w:br w:type="page"/>
      </w:r>
    </w:p>
    <w:p w:rsidR="00693B34" w:rsidP="00693B34">
      <w:pPr>
        <w:pStyle w:val="Style10"/>
      </w:pPr>
      <w:r>
        <w:t>ACHIEVEMENT (continued)</w:t>
      </w:r>
    </w:p>
    <w:p w:rsidR="00693B34" w:rsidP="00693B34">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693B34" w:rsidP="00693B34">
      <w:pPr>
        <w:pStyle w:val="ESHeading30"/>
      </w:pPr>
      <w:r w:rsidRPr="00EA3964">
        <w:t>NAPLAN</w:t>
      </w:r>
    </w:p>
    <w:p w:rsidR="00693B34" w:rsidP="00693B34">
      <w:pPr>
        <w:pStyle w:val="ESBodyText0"/>
      </w:pPr>
      <w:r>
        <w:t>Percentage of students in the top three bands of testing in NAPLAN.</w:t>
      </w:r>
      <w:r w:rsidRPr="00B90DA3" w:rsidR="00B90DA3">
        <w:rPr>
          <w:noProof/>
        </w:rPr>
        <w:t xml:space="preserve"> </w:t>
      </w:r>
    </w:p>
    <w:p w:rsidR="00693B34" w:rsidP="00693B34">
      <w:pPr>
        <w:pStyle w:val="ESBodyText0"/>
      </w:pPr>
      <w:r>
        <w:t>Note: NAPLAN tests were not conducted in 2020, hence the 4-year average is the average of 2018, 2019 and 2021 data.</w:t>
      </w:r>
      <w:r w:rsidRPr="00B90DA3" w:rsidR="00B90DA3">
        <w:rPr>
          <w:noProof/>
        </w:rPr>
        <w:t xml:space="preserve"> </w:t>
      </w: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70.6%</w:t>
            </w:r>
          </w:p>
        </w:tc>
        <w:tc>
          <w:tcPr>
            <w:tcW w:w="1132"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69.8%</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71.2%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69.5%</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76.9%</w:t>
            </w:r>
          </w:p>
        </w:tc>
        <w:tc>
          <w:tcPr>
            <w:tcW w:w="1132"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76.5%</w:t>
            </w:r>
          </w:p>
        </w:tc>
      </w:tr>
    </w:tbl>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6432" behindDoc="0" locked="0" layoutInCell="1" allowOverlap="1">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59.4%</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59.9%</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62.0%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57.3%</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70.4%</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67.7%</w:t>
            </w:r>
          </w:p>
        </w:tc>
      </w:tr>
    </w:tbl>
    <w:p w:rsidR="00693B34" w:rsidP="00693B34">
      <w:pPr>
        <w:spacing w:after="0" w:line="240" w:lineRule="auto"/>
        <w:rPr>
          <w:rFonts w:eastAsia="Arial" w:cs="Times New Roman"/>
          <w:color w:val="000000"/>
          <w:szCs w:val="20"/>
        </w:rPr>
      </w:pPr>
    </w:p>
    <w:p w:rsidR="00693B34" w:rsidP="00693B34">
      <w:pPr>
        <w:pStyle w:val="ESBodyText0"/>
        <w:spacing w:after="0" w:line="240" w:lineRule="auto"/>
        <w:rPr>
          <w:rFonts w:eastAsia="Arial" w:cs="Times New Roman"/>
          <w:color w:val="000000"/>
          <w:szCs w:val="20"/>
        </w:rPr>
      </w:pPr>
    </w:p>
    <w:p w:rsidR="00693B34" w:rsidP="00693B34">
      <w:pPr>
        <w:pStyle w:val="ESHeading30"/>
        <w:spacing w:before="0"/>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55.1%</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58.7%</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54.9%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57.7%</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67.6%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69.1%</w:t>
            </w:r>
          </w:p>
        </w:tc>
      </w:tr>
    </w:tbl>
    <w:p w:rsidR="00693B34" w:rsidP="00693B34">
      <w:pPr>
        <w:pStyle w:val="ESHeading30"/>
        <w:spacing w:before="0"/>
      </w:pPr>
    </w:p>
    <w:p w:rsidR="00693B34" w:rsidP="00693B34">
      <w:pPr>
        <w:pStyle w:val="ESHeading30"/>
        <w:spacing w:before="0"/>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44.3%</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50.9%</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50.8%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49.1%</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61.6%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60.0%</w:t>
            </w:r>
          </w:p>
        </w:tc>
      </w:tr>
    </w:tbl>
    <w:p w:rsidR="00693B34" w:rsidP="00693B34">
      <w:pPr>
        <w:pStyle w:val="ESHeading30"/>
        <w:spacing w:before="0"/>
      </w:pPr>
    </w:p>
    <w:p w:rsidR="00693B34" w:rsidP="00693B34">
      <w:pPr>
        <w:spacing w:after="0" w:line="240" w:lineRule="auto"/>
        <w:rPr>
          <w:b/>
          <w:color w:val="000000" w:themeColor="text1"/>
        </w:rPr>
      </w:pPr>
      <w:r>
        <w:br w:type="page"/>
      </w:r>
    </w:p>
    <w:p w:rsidR="00693B34" w:rsidP="00693B34">
      <w:pPr>
        <w:pStyle w:val="Style10"/>
      </w:pPr>
      <w:r>
        <w:t>ACHIEVEMENT (continued)</w:t>
      </w:r>
    </w:p>
    <w:p w:rsidR="00693B34" w:rsidP="00693B34">
      <w:pPr>
        <w:pStyle w:val="ESHeading30"/>
        <w:spacing w:line="240" w:lineRule="auto"/>
      </w:pPr>
      <w:r>
        <w:t>NAPLAN Learning Gain</w:t>
      </w:r>
    </w:p>
    <w:p w:rsidR="00693B34" w:rsidP="00693B34">
      <w:pPr>
        <w:pStyle w:val="ESBodyText0"/>
        <w:rPr>
          <w:rFonts w:eastAsia="Arial"/>
          <w:color w:val="000000"/>
        </w:rPr>
      </w:pPr>
      <w:r>
        <w:rPr>
          <w:rFonts w:eastAsia="Arial"/>
          <w:color w:val="000000"/>
        </w:rPr>
        <w:t xml:space="preserve">NAPLAN learning gain is determined by comparing a student's current year result </w:t>
      </w:r>
      <w:r w:rsidR="007311F4">
        <w:rPr>
          <w:rFonts w:eastAsia="Arial"/>
          <w:color w:val="000000"/>
        </w:rPr>
        <w:t xml:space="preserve">relative </w:t>
      </w:r>
      <w:r>
        <w:rPr>
          <w:rFonts w:eastAsia="Arial"/>
          <w:color w:val="000000"/>
        </w:rPr>
        <w:t>to the results of all ‘similar’ Victorian students (i.e.</w:t>
      </w:r>
      <w:r w:rsidR="00AF4BF6">
        <w:rPr>
          <w:rFonts w:eastAsia="Arial"/>
          <w:color w:val="000000"/>
        </w:rPr>
        <w:t>,</w:t>
      </w:r>
      <w:r>
        <w:rPr>
          <w:rFonts w:eastAsia="Arial"/>
          <w:color w:val="000000"/>
        </w:rPr>
        <w:t xml:space="preserve"> students in all sectors in the same year level who had the same score two years prior). If the current year result is in the top 25 percent, their gain level is </w:t>
      </w:r>
      <w:r>
        <w:rPr>
          <w:rFonts w:eastAsia="Arial"/>
          <w:color w:val="000000"/>
        </w:rPr>
        <w:t>categorised</w:t>
      </w:r>
      <w:r>
        <w:rPr>
          <w:rFonts w:eastAsia="Arial"/>
          <w:color w:val="000000"/>
        </w:rPr>
        <w:t xml:space="preserve"> as ‘High’; middle 50 percent is ‘Medium’; bottom 25 percent is ‘Low’.</w:t>
      </w:r>
    </w:p>
    <w:p w:rsidR="00944B57" w:rsidP="00693B34">
      <w:pPr>
        <w:pStyle w:val="ESBodyText0"/>
        <w:spacing w:after="0" w:line="240" w:lineRule="auto"/>
        <w:rPr>
          <w:rFonts w:eastAsia="Arial"/>
          <w:color w:val="000000"/>
        </w:rPr>
      </w:pPr>
    </w:p>
    <w:p w:rsidR="00693B34" w:rsidRPr="00944B57" w:rsidP="00693B34">
      <w:pPr>
        <w:pStyle w:val="ESBodyText0"/>
        <w:spacing w:after="0" w:line="240" w:lineRule="auto"/>
        <w:rPr>
          <w:rFonts w:eastAsia="Arial"/>
          <w:b/>
          <w:bCs/>
          <w:color w:val="000000"/>
        </w:rPr>
      </w:pPr>
      <w:r>
        <w:rPr>
          <w:rFonts w:eastAsia="Arial"/>
          <w:color w:val="000000"/>
        </w:rPr>
        <w:t xml:space="preserve">  </w:t>
      </w:r>
      <w:r w:rsidRPr="00944B57">
        <w:rPr>
          <w:rFonts w:eastAsia="Arial"/>
          <w:b/>
          <w:bCs/>
          <w:color w:val="000000"/>
        </w:rPr>
        <w:t>Learning Gain</w:t>
      </w:r>
    </w:p>
    <w:p w:rsidR="00944B57" w:rsidP="00693B34">
      <w:pPr>
        <w:pStyle w:val="ESBodyText0"/>
        <w:spacing w:after="0" w:line="240" w:lineRule="auto"/>
        <w:rPr>
          <w:rFonts w:eastAsia="Arial"/>
          <w:color w:val="000000"/>
        </w:rPr>
      </w:pPr>
      <w:r w:rsidRPr="00944B57">
        <w:rPr>
          <w:rFonts w:eastAsia="Arial"/>
          <w:b/>
          <w:bCs/>
          <w:color w:val="000000"/>
        </w:rPr>
        <w:t xml:space="preserve">  Year 3 (2019) to Year 5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418"/>
        <w:gridCol w:w="572"/>
        <w:gridCol w:w="855"/>
        <w:gridCol w:w="567"/>
        <w:gridCol w:w="851"/>
      </w:tblGrid>
      <w:tr w:rsidTr="00944B5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c>
          <w:tcPr>
            <w:tcW w:w="1413" w:type="dxa"/>
            <w:vAlign w:val="bottom"/>
          </w:tcPr>
          <w:p w:rsidR="00944B57" w:rsidRPr="00944B57" w:rsidP="00736CB1">
            <w:pPr>
              <w:pStyle w:val="ESBodyText0"/>
              <w:spacing w:line="240" w:lineRule="auto"/>
              <w:rPr>
                <w:sz w:val="2"/>
                <w:szCs w:val="2"/>
              </w:rPr>
            </w:pPr>
          </w:p>
        </w:tc>
        <w:tc>
          <w:tcPr>
            <w:tcW w:w="572" w:type="dxa"/>
            <w:vAlign w:val="bottom"/>
          </w:tcPr>
          <w:p w:rsidR="00944B57" w:rsidRPr="00944B57" w:rsidP="00736CB1">
            <w:pPr>
              <w:pStyle w:val="ESBodyText0"/>
              <w:spacing w:line="240" w:lineRule="auto"/>
              <w:rPr>
                <w:sz w:val="2"/>
                <w:szCs w:val="2"/>
              </w:rPr>
            </w:pPr>
          </w:p>
        </w:tc>
        <w:tc>
          <w:tcPr>
            <w:tcW w:w="855" w:type="dxa"/>
            <w:vAlign w:val="bottom"/>
          </w:tcPr>
          <w:p w:rsidR="00944B57" w:rsidRPr="00944B57" w:rsidP="00736CB1">
            <w:pPr>
              <w:pStyle w:val="ESBodyText0"/>
              <w:spacing w:line="240" w:lineRule="auto"/>
              <w:rPr>
                <w:sz w:val="2"/>
                <w:szCs w:val="2"/>
              </w:rPr>
            </w:pPr>
          </w:p>
        </w:tc>
        <w:tc>
          <w:tcPr>
            <w:tcW w:w="567" w:type="dxa"/>
            <w:vAlign w:val="bottom"/>
          </w:tcPr>
          <w:p w:rsidR="00944B57" w:rsidRPr="00944B57" w:rsidP="00C14862">
            <w:pPr>
              <w:pStyle w:val="ESBodyText0"/>
              <w:spacing w:line="240" w:lineRule="auto"/>
              <w:jc w:val="center"/>
              <w:rPr>
                <w:sz w:val="2"/>
                <w:szCs w:val="2"/>
              </w:rPr>
            </w:pPr>
          </w:p>
        </w:tc>
        <w:tc>
          <w:tcPr>
            <w:tcW w:w="851" w:type="dxa"/>
          </w:tcPr>
          <w:p w:rsidR="00944B57" w:rsidRPr="00944B57" w:rsidP="00C14862">
            <w:pPr>
              <w:pStyle w:val="ESBodyText0"/>
              <w:spacing w:line="240" w:lineRule="auto"/>
              <w:jc w:val="center"/>
              <w:rPr>
                <w:sz w:val="2"/>
                <w:szCs w:val="2"/>
              </w:rPr>
            </w:pPr>
          </w:p>
        </w:tc>
      </w:tr>
      <w:tr w:rsidTr="00E1349D">
        <w:tblPrEx>
          <w:tblW w:w="0" w:type="auto"/>
          <w:tblLayout w:type="fixed"/>
          <w:tblCellMar>
            <w:left w:w="0" w:type="dxa"/>
            <w:right w:w="0" w:type="dxa"/>
          </w:tblCellMar>
          <w:tblLook w:val="04A0"/>
        </w:tblPrEx>
        <w:tc>
          <w:tcPr>
            <w:tcW w:w="1418" w:type="dxa"/>
            <w:vAlign w:val="bottom"/>
          </w:tcPr>
          <w:p w:rsidR="007311F4" w:rsidRPr="00B20B33" w:rsidP="00C14862">
            <w:pPr>
              <w:pStyle w:val="ESBodyText0"/>
              <w:spacing w:line="240" w:lineRule="auto"/>
              <w:rPr>
                <w:b/>
                <w:bCs/>
              </w:rPr>
            </w:pPr>
          </w:p>
        </w:tc>
        <w:tc>
          <w:tcPr>
            <w:tcW w:w="567" w:type="dxa"/>
            <w:tcMar>
              <w:left w:w="0" w:type="dxa"/>
              <w:right w:w="0" w:type="dxa"/>
            </w:tcMar>
            <w:vAlign w:val="bottom"/>
          </w:tcPr>
          <w:p w:rsidR="007311F4" w:rsidP="00C14862">
            <w:pPr>
              <w:pStyle w:val="ESBodyText0"/>
              <w:spacing w:line="240" w:lineRule="auto"/>
              <w:jc w:val="center"/>
            </w:pPr>
            <w:r>
              <w:t>Low Gain</w:t>
            </w:r>
          </w:p>
        </w:tc>
        <w:tc>
          <w:tcPr>
            <w:tcW w:w="855" w:type="dxa"/>
            <w:tcMar>
              <w:left w:w="0" w:type="dxa"/>
              <w:right w:w="0" w:type="dxa"/>
            </w:tcMar>
            <w:vAlign w:val="bottom"/>
          </w:tcPr>
          <w:p w:rsidR="007311F4" w:rsidP="00C14862">
            <w:pPr>
              <w:pStyle w:val="ESBodyText0"/>
              <w:spacing w:line="240" w:lineRule="auto"/>
              <w:jc w:val="center"/>
            </w:pPr>
            <w:r>
              <w:t>Medium Gain</w:t>
            </w:r>
          </w:p>
        </w:tc>
        <w:tc>
          <w:tcPr>
            <w:tcW w:w="567" w:type="dxa"/>
            <w:tcMar>
              <w:left w:w="0" w:type="dxa"/>
              <w:right w:w="0" w:type="dxa"/>
            </w:tcMar>
            <w:vAlign w:val="bottom"/>
          </w:tcPr>
          <w:p w:rsidR="007311F4" w:rsidP="00C14862">
            <w:pPr>
              <w:pStyle w:val="ESBodyText0"/>
              <w:spacing w:line="240" w:lineRule="auto"/>
              <w:jc w:val="center"/>
            </w:pPr>
            <w:r>
              <w:t>High Gain</w:t>
            </w:r>
          </w:p>
        </w:tc>
        <w:tc>
          <w:tcPr>
            <w:tcW w:w="851" w:type="dxa"/>
            <w:tcMar>
              <w:left w:w="0" w:type="dxa"/>
              <w:right w:w="0" w:type="dxa"/>
            </w:tcMar>
          </w:tcPr>
          <w:p w:rsidR="007311F4" w:rsidP="00C14862">
            <w:pPr>
              <w:pStyle w:val="ESBodyText0"/>
              <w:spacing w:line="240" w:lineRule="auto"/>
              <w:jc w:val="center"/>
            </w:pPr>
            <w:r>
              <w:rPr>
                <w:noProof/>
              </w:rPr>
              <w:drawing>
                <wp:anchor distT="0" distB="0" distL="114300" distR="114300" simplePos="0" relativeHeight="251661312" behindDoc="0" locked="0" layoutInCell="1" allowOverlap="1">
                  <wp:simplePos x="0" y="0"/>
                  <wp:positionH relativeFrom="margin">
                    <wp:posOffset>539750</wp:posOffset>
                  </wp:positionH>
                  <wp:positionV relativeFrom="paragraph">
                    <wp:posOffset>43180</wp:posOffset>
                  </wp:positionV>
                  <wp:extent cx="4185920" cy="2778760"/>
                  <wp:effectExtent l="0" t="0" r="5080" b="254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7311F4">
              <w:rPr>
                <w:color w:val="000000" w:themeColor="text1"/>
              </w:rPr>
              <w:t>Hi</w:t>
            </w:r>
            <w:r>
              <w:rPr>
                <w:color w:val="000000" w:themeColor="text1"/>
              </w:rPr>
              <w:t>gh Gain (Similar Schools)</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31%</w:t>
            </w:r>
          </w:p>
        </w:tc>
        <w:tc>
          <w:tcPr>
            <w:tcW w:w="855" w:type="dxa"/>
            <w:tcBorders>
              <w:bottom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40%</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P="007311F4">
            <w:pPr>
              <w:pStyle w:val="ESBodyText0"/>
              <w:spacing w:line="240" w:lineRule="auto"/>
              <w:jc w:val="center"/>
            </w:pPr>
            <w:r>
              <w:t>29%</w:t>
            </w:r>
          </w:p>
        </w:tc>
        <w:tc>
          <w:tcPr>
            <w:tcW w:w="851" w:type="dxa"/>
            <w:tcBorders>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21%</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32%</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49%</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19%</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24%</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30%</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44%</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27%</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22%</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22%</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49%</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29%</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27%</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24%</w:t>
            </w:r>
          </w:p>
        </w:tc>
        <w:tc>
          <w:tcPr>
            <w:tcW w:w="855" w:type="dxa"/>
            <w:tcBorders>
              <w:top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62%</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rsidR="007311F4" w:rsidP="007311F4">
            <w:pPr>
              <w:pStyle w:val="ESBodyText0"/>
              <w:spacing w:line="240" w:lineRule="auto"/>
              <w:jc w:val="center"/>
            </w:pPr>
            <w:r>
              <w:t>14%</w:t>
            </w:r>
          </w:p>
        </w:tc>
        <w:tc>
          <w:tcPr>
            <w:tcW w:w="851" w:type="dxa"/>
            <w:tcBorders>
              <w:top w:val="single" w:sz="4" w:space="0" w:color="FFFFFF" w:themeColor="background1"/>
              <w:left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25%</w:t>
            </w:r>
          </w:p>
        </w:tc>
      </w:tr>
    </w:tbl>
    <w:p w:rsidR="00693B34" w:rsidP="00693B34">
      <w:pPr>
        <w:spacing w:after="0" w:line="240" w:lineRule="auto"/>
      </w:pPr>
    </w:p>
    <w:p w:rsidR="00693B34" w:rsidP="00693B34">
      <w:pPr>
        <w:spacing w:after="0" w:line="240" w:lineRule="auto"/>
      </w:pPr>
    </w:p>
    <w:p w:rsidR="00693B34" w:rsidP="00693B34">
      <w:pPr>
        <w:spacing w:after="0" w:line="240" w:lineRule="auto"/>
      </w:pPr>
    </w:p>
    <w:p w:rsidR="005B6BD9" w:rsidP="00693B34">
      <w:pPr>
        <w:pStyle w:val="ESBodyText0"/>
        <w:spacing w:after="240"/>
      </w:pPr>
    </w:p>
    <w:p w:rsidR="005B6BD9">
      <w:pPr>
        <w:spacing w:after="0" w:line="240" w:lineRule="auto"/>
      </w:pPr>
      <w:r>
        <w:br w:type="page"/>
      </w:r>
    </w:p>
    <w:p w:rsidR="009E6D61" w:rsidP="00B637FF">
      <w:pPr>
        <w:pStyle w:val="Style10"/>
      </w:pPr>
      <w:r>
        <w:t>ENGAGEMENT</w:t>
      </w:r>
    </w:p>
    <w:p w:rsidR="00666BAD"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Average Number of Student Absence Days</w:t>
      </w:r>
    </w:p>
    <w:p w:rsidR="001016C0">
      <w:pPr>
        <w:pStyle w:val="ESBodyText0"/>
      </w:pPr>
      <w:r>
        <w:t>Absence from school can impact on students’ learning.</w:t>
      </w:r>
      <w:r w:rsidR="00731F19">
        <w:t xml:space="preserve"> </w:t>
      </w:r>
      <w:r>
        <w:t>Common reasons for non-attendance include illness and extended family holidays.</w:t>
      </w:r>
      <w:r w:rsidRPr="000D7D46" w:rsidR="000D7D46">
        <w:t xml:space="preserve"> </w:t>
      </w:r>
      <w:r w:rsidRPr="003F1321" w:rsidR="003F1321">
        <w:t xml:space="preserve">Absence and attendance data </w:t>
      </w:r>
      <w:r w:rsidR="003F1321">
        <w:t xml:space="preserve">in 2020 </w:t>
      </w:r>
      <w:r w:rsidR="00737A25">
        <w:t xml:space="preserve">and 2021 </w:t>
      </w:r>
      <w:r w:rsidRPr="003F1321" w:rsidR="003F1321">
        <w:t>may have been influenced by</w:t>
      </w:r>
      <w:r w:rsidR="00AF4BF6">
        <w:t xml:space="preserve"> COVID-19</w:t>
      </w:r>
      <w:r w:rsidRPr="003F1321" w:rsidR="003F1321">
        <w:t>.</w:t>
      </w:r>
    </w:p>
    <w:p w:rsidR="002E45F9">
      <w:pPr>
        <w:pStyle w:val="ESBodyText0"/>
      </w:pPr>
      <w:r>
        <w:rPr>
          <w:noProof/>
        </w:rPr>
        <w:drawing>
          <wp:anchor distT="0" distB="0" distL="114300" distR="114300" simplePos="0" relativeHeight="251670528"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P="00BA1967">
            <w:pPr>
              <w:pStyle w:val="ESBodyText0"/>
              <w:spacing w:line="240" w:lineRule="auto"/>
              <w:jc w:val="center"/>
            </w:pPr>
            <w:r>
              <w:t>Latest year (202</w:t>
            </w:r>
            <w:r w:rsidR="00737A25">
              <w:t>1</w:t>
            </w:r>
            <w:r>
              <w:t>)</w:t>
            </w:r>
          </w:p>
        </w:tc>
        <w:tc>
          <w:tcPr>
            <w:tcW w:w="1132" w:type="dxa"/>
            <w:vAlign w:val="bottom"/>
          </w:tcPr>
          <w:p w:rsidR="002E45F9"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11.6</w:t>
            </w:r>
          </w:p>
        </w:tc>
        <w:tc>
          <w:tcPr>
            <w:tcW w:w="1132"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14.1</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18.2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18.1</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14.7</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15.0</w:t>
            </w:r>
          </w:p>
        </w:tc>
      </w:tr>
    </w:tbl>
    <w:p w:rsidR="002E45F9">
      <w:pPr>
        <w:pStyle w:val="ESBodyText0"/>
      </w:pPr>
    </w:p>
    <w:p w:rsidR="002E45F9">
      <w:pPr>
        <w:pStyle w:val="ESBodyText0"/>
      </w:pPr>
    </w:p>
    <w:p w:rsidR="002E45F9">
      <w:pPr>
        <w:pStyle w:val="ESBodyText0"/>
      </w:pPr>
    </w:p>
    <w:p w:rsidR="006F4FB2">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093"/>
        <w:gridCol w:w="1094"/>
        <w:gridCol w:w="1093"/>
        <w:gridCol w:w="1094"/>
        <w:gridCol w:w="1093"/>
        <w:gridCol w:w="1094"/>
        <w:gridCol w:w="1094"/>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tcPr>
          <w:p w:rsidR="006F4FB2" w:rsidRPr="006F4FB2">
            <w:pPr>
              <w:pStyle w:val="ESBodyText0"/>
              <w:rPr>
                <w:b/>
                <w:bCs/>
              </w:rPr>
            </w:pPr>
            <w:r w:rsidRPr="006F4FB2">
              <w:rPr>
                <w:b/>
                <w:bCs/>
              </w:rPr>
              <w:t>Attendance Rate</w:t>
            </w:r>
            <w:r>
              <w:rPr>
                <w:b/>
                <w:bCs/>
              </w:rPr>
              <w:t xml:space="preserve"> (latest year)</w:t>
            </w: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4" w:type="dxa"/>
          </w:tcPr>
          <w:p w:rsidR="006F4FB2">
            <w:pPr>
              <w:pStyle w:val="ESBodyText0"/>
            </w:pPr>
          </w:p>
        </w:tc>
      </w:tr>
      <w:tr w:rsidTr="00E163B8">
        <w:tblPrEx>
          <w:tblW w:w="0" w:type="auto"/>
          <w:tblLook w:val="04A0"/>
        </w:tblPrEx>
        <w:tc>
          <w:tcPr>
            <w:tcW w:w="2835" w:type="dxa"/>
            <w:vAlign w:val="bottom"/>
          </w:tcPr>
          <w:p w:rsidR="006F4FB2">
            <w:pPr>
              <w:pStyle w:val="ESBodyText0"/>
            </w:pPr>
          </w:p>
        </w:tc>
        <w:tc>
          <w:tcPr>
            <w:tcW w:w="1093" w:type="dxa"/>
            <w:vAlign w:val="bottom"/>
          </w:tcPr>
          <w:p w:rsidR="006F4FB2" w:rsidP="006F4FB2">
            <w:pPr>
              <w:pStyle w:val="ESBodyText0"/>
              <w:jc w:val="center"/>
            </w:pPr>
            <w:r>
              <w:t>Prep</w:t>
            </w:r>
          </w:p>
        </w:tc>
        <w:tc>
          <w:tcPr>
            <w:tcW w:w="1094" w:type="dxa"/>
            <w:vAlign w:val="bottom"/>
          </w:tcPr>
          <w:p w:rsidR="006F4FB2" w:rsidP="006F4FB2">
            <w:pPr>
              <w:pStyle w:val="ESBodyText0"/>
              <w:jc w:val="center"/>
            </w:pPr>
            <w:r>
              <w:t>Year 1</w:t>
            </w:r>
          </w:p>
        </w:tc>
        <w:tc>
          <w:tcPr>
            <w:tcW w:w="1093" w:type="dxa"/>
            <w:vAlign w:val="bottom"/>
          </w:tcPr>
          <w:p w:rsidR="006F4FB2" w:rsidP="006F4FB2">
            <w:pPr>
              <w:pStyle w:val="ESBodyText0"/>
              <w:jc w:val="center"/>
            </w:pPr>
            <w:r>
              <w:t>Year 2</w:t>
            </w:r>
          </w:p>
        </w:tc>
        <w:tc>
          <w:tcPr>
            <w:tcW w:w="1094" w:type="dxa"/>
            <w:vAlign w:val="bottom"/>
          </w:tcPr>
          <w:p w:rsidR="006F4FB2" w:rsidP="006F4FB2">
            <w:pPr>
              <w:pStyle w:val="ESBodyText0"/>
              <w:jc w:val="center"/>
            </w:pPr>
            <w:r>
              <w:t>Year 3</w:t>
            </w:r>
          </w:p>
        </w:tc>
        <w:tc>
          <w:tcPr>
            <w:tcW w:w="1093" w:type="dxa"/>
            <w:vAlign w:val="bottom"/>
          </w:tcPr>
          <w:p w:rsidR="006F4FB2" w:rsidP="006F4FB2">
            <w:pPr>
              <w:pStyle w:val="ESBodyText0"/>
              <w:jc w:val="center"/>
            </w:pPr>
            <w:r>
              <w:t>Year 4</w:t>
            </w:r>
          </w:p>
        </w:tc>
        <w:tc>
          <w:tcPr>
            <w:tcW w:w="1094" w:type="dxa"/>
            <w:vAlign w:val="bottom"/>
          </w:tcPr>
          <w:p w:rsidR="006F4FB2" w:rsidP="006F4FB2">
            <w:pPr>
              <w:pStyle w:val="ESBodyText0"/>
              <w:jc w:val="center"/>
            </w:pPr>
            <w:r>
              <w:t>Year 5</w:t>
            </w:r>
          </w:p>
        </w:tc>
        <w:tc>
          <w:tcPr>
            <w:tcW w:w="1094" w:type="dxa"/>
            <w:vAlign w:val="bottom"/>
          </w:tcPr>
          <w:p w:rsidR="006F4FB2" w:rsidP="006F4FB2">
            <w:pPr>
              <w:pStyle w:val="ESBodyText0"/>
              <w:jc w:val="center"/>
            </w:pPr>
            <w:r>
              <w:t>Year 6</w:t>
            </w:r>
          </w:p>
        </w:tc>
      </w:tr>
      <w:tr w:rsidTr="00E163B8">
        <w:tblPrEx>
          <w:tblW w:w="0" w:type="auto"/>
          <w:tblLook w:val="04A0"/>
        </w:tblPrEx>
        <w:tc>
          <w:tcPr>
            <w:tcW w:w="2835" w:type="dxa"/>
          </w:tcPr>
          <w:p w:rsidR="006F4FB2">
            <w:pPr>
              <w:pStyle w:val="ESBodyText0"/>
            </w:pPr>
            <w:r>
              <w:t>Attendance Rate by year level (202</w:t>
            </w:r>
            <w:r w:rsidR="00737A25">
              <w:t>1</w:t>
            </w:r>
            <w:r>
              <w:t>):</w:t>
            </w:r>
          </w:p>
        </w:tc>
        <w:tc>
          <w:tcPr>
            <w:tcW w:w="1093" w:type="dxa"/>
            <w:shd w:val="clear" w:color="auto" w:fill="FFC000"/>
            <w:tcMar>
              <w:top w:w="57" w:type="dxa"/>
            </w:tcMar>
            <w:vAlign w:val="center"/>
          </w:tcPr>
          <w:p w:rsidR="006F4FB2" w:rsidP="006F4FB2">
            <w:pPr>
              <w:pStyle w:val="ESBodyText0"/>
              <w:jc w:val="center"/>
            </w:pPr>
            <w:r>
              <w:t>94%</w:t>
            </w:r>
          </w:p>
        </w:tc>
        <w:tc>
          <w:tcPr>
            <w:tcW w:w="1094" w:type="dxa"/>
            <w:shd w:val="clear" w:color="auto" w:fill="FFC000"/>
            <w:tcMar>
              <w:top w:w="57" w:type="dxa"/>
            </w:tcMar>
            <w:vAlign w:val="center"/>
          </w:tcPr>
          <w:p w:rsidR="006F4FB2" w:rsidP="006F4FB2">
            <w:pPr>
              <w:pStyle w:val="ESBodyText0"/>
              <w:jc w:val="center"/>
            </w:pPr>
            <w:r>
              <w:t>91%</w:t>
            </w:r>
          </w:p>
        </w:tc>
        <w:tc>
          <w:tcPr>
            <w:tcW w:w="1093" w:type="dxa"/>
            <w:shd w:val="clear" w:color="auto" w:fill="FFC000"/>
            <w:tcMar>
              <w:top w:w="57" w:type="dxa"/>
            </w:tcMar>
            <w:vAlign w:val="center"/>
          </w:tcPr>
          <w:p w:rsidR="006F4FB2" w:rsidP="006F4FB2">
            <w:pPr>
              <w:pStyle w:val="ESBodyText0"/>
              <w:jc w:val="center"/>
            </w:pPr>
            <w:r>
              <w:t>95%</w:t>
            </w:r>
          </w:p>
        </w:tc>
        <w:tc>
          <w:tcPr>
            <w:tcW w:w="1094" w:type="dxa"/>
            <w:shd w:val="clear" w:color="auto" w:fill="FFC000"/>
            <w:tcMar>
              <w:top w:w="57" w:type="dxa"/>
            </w:tcMar>
            <w:vAlign w:val="center"/>
          </w:tcPr>
          <w:p w:rsidR="006F4FB2" w:rsidP="006F4FB2">
            <w:pPr>
              <w:pStyle w:val="ESBodyText0"/>
              <w:jc w:val="center"/>
            </w:pPr>
            <w:r>
              <w:t>95%</w:t>
            </w:r>
          </w:p>
        </w:tc>
        <w:tc>
          <w:tcPr>
            <w:tcW w:w="1093" w:type="dxa"/>
            <w:shd w:val="clear" w:color="auto" w:fill="FFC000"/>
            <w:tcMar>
              <w:top w:w="57" w:type="dxa"/>
            </w:tcMar>
            <w:vAlign w:val="center"/>
          </w:tcPr>
          <w:p w:rsidR="006F4FB2" w:rsidP="006F4FB2">
            <w:pPr>
              <w:pStyle w:val="ESBodyText0"/>
              <w:jc w:val="center"/>
            </w:pPr>
            <w:r>
              <w:t>94%</w:t>
            </w:r>
          </w:p>
        </w:tc>
        <w:tc>
          <w:tcPr>
            <w:tcW w:w="1094" w:type="dxa"/>
            <w:shd w:val="clear" w:color="auto" w:fill="FFC000"/>
            <w:tcMar>
              <w:top w:w="57" w:type="dxa"/>
            </w:tcMar>
            <w:vAlign w:val="center"/>
          </w:tcPr>
          <w:p w:rsidR="006F4FB2" w:rsidP="006F4FB2">
            <w:pPr>
              <w:pStyle w:val="ESBodyText0"/>
              <w:jc w:val="center"/>
            </w:pPr>
            <w:r>
              <w:t>96%</w:t>
            </w:r>
          </w:p>
        </w:tc>
        <w:tc>
          <w:tcPr>
            <w:tcW w:w="1094" w:type="dxa"/>
            <w:shd w:val="clear" w:color="auto" w:fill="FFC000"/>
            <w:tcMar>
              <w:top w:w="57" w:type="dxa"/>
            </w:tcMar>
            <w:vAlign w:val="center"/>
          </w:tcPr>
          <w:p w:rsidR="006F4FB2" w:rsidP="006F4FB2">
            <w:pPr>
              <w:pStyle w:val="ESBodyText0"/>
              <w:jc w:val="center"/>
            </w:pPr>
            <w:r>
              <w:t>93%</w:t>
            </w:r>
          </w:p>
        </w:tc>
      </w:tr>
    </w:tbl>
    <w:p w:rsidR="008A2551">
      <w:pPr>
        <w:pStyle w:val="ESBodyText0"/>
      </w:pPr>
    </w:p>
    <w:p w:rsidR="008A2551">
      <w:pPr>
        <w:pStyle w:val="ESBodyText0"/>
      </w:pPr>
    </w:p>
    <w:p w:rsidR="006A4059" w:rsidP="006A4059">
      <w:pPr>
        <w:pStyle w:val="ESBodyText0"/>
      </w:pPr>
    </w:p>
    <w:p w:rsidR="0056104D">
      <w:pPr>
        <w:spacing w:after="0" w:line="240" w:lineRule="auto"/>
        <w:rPr>
          <w:b/>
          <w:color w:val="000000" w:themeColor="text1"/>
        </w:rPr>
      </w:pPr>
      <w:r>
        <w:br w:type="page"/>
      </w:r>
    </w:p>
    <w:p w:rsidR="009E6D61" w:rsidP="00D4348E">
      <w:pPr>
        <w:pStyle w:val="Style10"/>
      </w:pPr>
      <w:r>
        <w:t>WELL</w:t>
      </w:r>
      <w:r w:rsidR="00D4348E">
        <w:t>BEING</w:t>
      </w:r>
    </w:p>
    <w:p w:rsidR="006A3AB8"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Student Attitudes to School – Sense of Connectedness</w:t>
      </w:r>
    </w:p>
    <w:p w:rsidR="00B52429">
      <w:pPr>
        <w:pStyle w:val="ESBodyText0"/>
      </w:pPr>
      <w:r>
        <w:t xml:space="preserve">The percent endorsement on Sense of Connectedness factor, as reported in the Attitudes to School Survey completed annually by Victorian </w:t>
      </w:r>
      <w:r w:rsidR="00AF4BF6">
        <w:t>g</w:t>
      </w:r>
      <w:r>
        <w:t>overnment school students</w:t>
      </w:r>
      <w:r w:rsidR="003F1321">
        <w:t>, indicates the p</w:t>
      </w:r>
      <w:r>
        <w:t>ercent of positive responses (agree or strongly agree).</w:t>
      </w:r>
    </w:p>
    <w:p w:rsidR="004F0C48" w:rsidP="00AE4639">
      <w:pPr>
        <w:pStyle w:val="ESBodyText0"/>
        <w:spacing w:before="120" w:after="240"/>
      </w:pPr>
      <w:r>
        <w:rPr>
          <w:noProof/>
        </w:rPr>
        <w:drawing>
          <wp:anchor distT="0" distB="0" distL="114300" distR="114300" simplePos="0" relativeHeight="251669504"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4F0C48"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P="00BA1967">
            <w:pPr>
              <w:pStyle w:val="ESBodyText0"/>
              <w:spacing w:line="240" w:lineRule="auto"/>
              <w:jc w:val="center"/>
            </w:pPr>
            <w:r>
              <w:t>Latest year (202</w:t>
            </w:r>
            <w:r w:rsidR="00737A25">
              <w:t>1</w:t>
            </w:r>
            <w:r>
              <w:t>)</w:t>
            </w:r>
          </w:p>
        </w:tc>
        <w:tc>
          <w:tcPr>
            <w:tcW w:w="1060" w:type="dxa"/>
            <w:vAlign w:val="bottom"/>
          </w:tcPr>
          <w:p w:rsidR="004F0C48"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80.0%</w:t>
            </w:r>
          </w:p>
        </w:tc>
        <w:tc>
          <w:tcPr>
            <w:tcW w:w="1060"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88.3%</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81.3%</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82.2%</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79.5%</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80.4%</w:t>
            </w:r>
          </w:p>
        </w:tc>
      </w:tr>
    </w:tbl>
    <w:p w:rsidR="004F0C48">
      <w:pPr>
        <w:pStyle w:val="ESBodyText0"/>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609975" cy="885825"/>
                        </a:xfrm>
                        <a:prstGeom prst="rect">
                          <a:avLst/>
                        </a:prstGeom>
                        <a:solidFill>
                          <a:schemeClr val="lt1"/>
                        </a:solidFill>
                        <a:ln w="6350">
                          <a:noFill/>
                        </a:ln>
                      </wps:spPr>
                      <wps:txbx>
                        <w:txbxContent>
                          <w:p w:rsidR="007A7D8C" w:rsidRPr="007A7D8C" w:rsidP="007A7D8C">
                            <w:pPr>
                              <w:rPr>
                                <w:i/>
                                <w:iCs/>
                                <w:color w:val="C0504D"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6672" fillcolor="white" stroked="f" strokeweight="0.5pt">
                <v:textbox>
                  <w:txbxContent>
                    <w:p w:rsidR="007A7D8C" w:rsidRPr="007A7D8C" w:rsidP="007A7D8C">
                      <w:pPr>
                        <w:rPr>
                          <w:i/>
                          <w:iCs/>
                          <w:color w:val="AF272F"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rsidR="00AE4639">
      <w:pPr>
        <w:pStyle w:val="ESBodyText0"/>
      </w:pPr>
    </w:p>
    <w:p w:rsidR="000C0E44">
      <w:pPr>
        <w:pStyle w:val="ESBodyText0"/>
      </w:pPr>
    </w:p>
    <w:p w:rsidR="00B9320F" w:rsidP="00B9320F">
      <w:pPr>
        <w:pStyle w:val="ESHeading30"/>
        <w:spacing w:before="120"/>
      </w:pPr>
    </w:p>
    <w:p w:rsidR="003221FB" w:rsidP="000D7D46">
      <w:pPr>
        <w:pStyle w:val="ESHeading30"/>
        <w:spacing w:before="480"/>
      </w:pPr>
      <w:r>
        <w:t>Student Attitudes to School – Management of Bullying</w:t>
      </w:r>
    </w:p>
    <w:p w:rsidR="00192005">
      <w:pPr>
        <w:pStyle w:val="ESBodyText0"/>
      </w:pPr>
      <w:r>
        <w:t xml:space="preserve">The percent endorsement on Management of Bullying factor, as reported in the Attitudes to School Survey completed annually by Victorian </w:t>
      </w:r>
      <w:r w:rsidR="00AF4BF6">
        <w:t>g</w:t>
      </w:r>
      <w:r>
        <w:t>overnment school students</w:t>
      </w:r>
      <w:r w:rsidR="003F1321">
        <w:t xml:space="preserve">, </w:t>
      </w:r>
      <w:r>
        <w:t>indicates the percent of positive responses (agree or strongly agree).</w:t>
      </w:r>
    </w:p>
    <w:p w:rsidR="001B1C12" w:rsidP="001B1C12">
      <w:pPr>
        <w:pStyle w:val="ESBodyText0"/>
        <w:spacing w:before="120" w:after="240"/>
      </w:pPr>
      <w:r>
        <w:rPr>
          <w:noProof/>
        </w:rPr>
        <w:drawing>
          <wp:anchor distT="0" distB="0" distL="114300" distR="114300" simplePos="0" relativeHeight="251668480"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1B1C12"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P="00BA1967">
            <w:pPr>
              <w:pStyle w:val="ESBodyText0"/>
              <w:spacing w:line="240" w:lineRule="auto"/>
              <w:jc w:val="center"/>
            </w:pPr>
            <w:r>
              <w:t>Latest year (202</w:t>
            </w:r>
            <w:r w:rsidR="00737A25">
              <w:t>1</w:t>
            </w:r>
            <w:r>
              <w:t>)</w:t>
            </w:r>
          </w:p>
        </w:tc>
        <w:tc>
          <w:tcPr>
            <w:tcW w:w="1060" w:type="dxa"/>
            <w:vAlign w:val="bottom"/>
          </w:tcPr>
          <w:p w:rsidR="001B1C12"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77.1%</w:t>
            </w:r>
          </w:p>
        </w:tc>
        <w:tc>
          <w:tcPr>
            <w:tcW w:w="1060"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86.1%</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79.3%</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80.6%</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78.4%</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79.7%</w:t>
            </w:r>
          </w:p>
        </w:tc>
      </w:tr>
    </w:tbl>
    <w:p w:rsidR="001B1C12">
      <w:pPr>
        <w:pStyle w:val="ESBodyText0"/>
      </w:pPr>
      <w:r>
        <w:rPr>
          <w:noProof/>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847725"/>
                        </a:xfrm>
                        <a:prstGeom prst="rect">
                          <a:avLst/>
                        </a:prstGeom>
                        <a:solidFill>
                          <a:schemeClr val="lt1"/>
                        </a:solidFill>
                        <a:ln w="6350">
                          <a:noFill/>
                        </a:ln>
                      </wps:spPr>
                      <wps:txb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8720" fillcolor="white" stroked="f" strokeweight="0.5pt">
                <v:textbo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pPr>
        <w:pStyle w:val="ESBodyText0"/>
      </w:pPr>
    </w:p>
    <w:p w:rsidR="000C0E44">
      <w:pPr>
        <w:pStyle w:val="ESBodyText0"/>
      </w:pPr>
    </w:p>
    <w:p w:rsidR="009E6D61">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P="00D4348E">
      <w:pPr>
        <w:pStyle w:val="ESHeading10"/>
        <w:rPr>
          <w:b/>
          <w:bCs w:val="0"/>
          <w:sz w:val="44"/>
          <w:szCs w:val="52"/>
        </w:rPr>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2021</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$3,879,257</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$639,081</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$3,400</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$0</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$11,487</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$156,764</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$0</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$4,689,989</w:t>
            </w:r>
          </w:p>
        </w:tc>
      </w:tr>
    </w:tbl>
    <w:p w:rsidR="009E6D61" w:rsidP="0099239B">
      <w:pPr>
        <w:pStyle w:val="ESBodyText0"/>
        <w:spacing w:before="120" w:line="240" w:lineRule="auto"/>
      </w:pPr>
      <w:bookmarkEnd w:id="4"/>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$333,227</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$333,227</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$3,883,358</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$4,891</w:t>
            </w:r>
          </w:p>
        </w:tc>
      </w:tr>
      <w:tr w:rsidTr="006D361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P="006D3611">
            <w:pPr>
              <w:spacing w:before="40" w:after="40" w:line="240" w:lineRule="auto"/>
              <w:rPr>
                <w:rFonts w:cs="Times New Roman"/>
                <w:b w:val="0"/>
                <w:bCs w:val="0"/>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P="006D3611">
            <w:pPr>
              <w:jc w:val="right"/>
            </w:pPr>
            <w:r>
              <w:t>$49,156</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$8,385</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$99,629</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$7,833</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$9,905</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P="006D3611">
            <w:pPr>
              <w:spacing w:before="40" w:after="40" w:line="240" w:lineRule="auto"/>
              <w:rPr>
                <w:rFonts w:cs="Times New Roman"/>
                <w:b w:val="0"/>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P="006D3611">
            <w:pPr>
              <w:jc w:val="right"/>
            </w:pPr>
            <w:r>
              <w:t>$121,457</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$137,096</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pPr>
              <w:jc w:val="right"/>
            </w:pPr>
            <w:r>
              <w:t>$252,550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$222</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P="006D3611">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P="006D361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($80)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$38,787</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$4,613,189</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$76,801</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$0</w:t>
            </w:r>
          </w:p>
        </w:tc>
      </w:tr>
    </w:tbl>
    <w:p w:rsidR="000C0E44" w:rsidP="000C0E44">
      <w:pPr>
        <w:pStyle w:val="ESBodyText0"/>
        <w:numPr>
          <w:ilvl w:val="0"/>
          <w:numId w:val="29"/>
        </w:numPr>
      </w:pPr>
      <w:r>
        <w:t>The equity funding reported above is a subset of the overall revenue reported by the school.</w:t>
      </w:r>
    </w:p>
    <w:p w:rsidR="000C0E44" w:rsidP="000C0E44">
      <w:pPr>
        <w:pStyle w:val="ESBodyText0"/>
        <w:numPr>
          <w:ilvl w:val="0"/>
          <w:numId w:val="29"/>
        </w:numPr>
      </w:pPr>
      <w:r>
        <w:t xml:space="preserve">Student Resource Package Expenditure figures are as of </w:t>
      </w:r>
      <w:r>
        <w:t>24 Feb 2022</w:t>
      </w:r>
      <w:r>
        <w:t xml:space="preserve"> and are subject to change during the reconciliation process.</w:t>
      </w:r>
    </w:p>
    <w:p w:rsidR="000C0E44" w:rsidP="000C0E44">
      <w:pPr>
        <w:pStyle w:val="ESBodyText0"/>
        <w:numPr>
          <w:ilvl w:val="0"/>
          <w:numId w:val="29"/>
        </w:numPr>
      </w:pPr>
      <w:r>
        <w:t xml:space="preserve">Miscellaneous Expenses include bank charges, administration expenses, </w:t>
      </w:r>
      <w:r>
        <w:t>insurance</w:t>
      </w:r>
      <w:r>
        <w:t xml:space="preserve"> and taxation charges.</w:t>
      </w:r>
    </w:p>
    <w:p w:rsidR="000C0E44" w:rsidP="00274E29">
      <w:pPr>
        <w:pStyle w:val="ESBodyText0"/>
        <w:numPr>
          <w:ilvl w:val="0"/>
          <w:numId w:val="29"/>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0"/>
        <w:spacing w:before="240" w:after="480" w:line="240" w:lineRule="atLeast"/>
        <w:rPr>
          <w:szCs w:val="24"/>
        </w:rPr>
      </w:pPr>
      <w:r w:rsidRPr="0099239B">
        <w:rPr>
          <w:szCs w:val="24"/>
        </w:rPr>
        <w:t>F</w:t>
      </w:r>
      <w:r>
        <w:rPr>
          <w:szCs w:val="24"/>
        </w:rPr>
        <w:t xml:space="preserve">INANCIAL POSITION AS AT 31 DECEMBER </w:t>
      </w:r>
      <w:r>
        <w:rPr>
          <w:szCs w:val="24"/>
        </w:rPr>
        <w:t>2021</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$420,404</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$50,602</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$471,006</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$99,264</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$99,264</w:t>
            </w:r>
          </w:p>
        </w:tc>
      </w:tr>
    </w:tbl>
    <w:p w:rsidR="009E6D61" w:rsidP="000C0E44">
      <w:pPr>
        <w:pStyle w:val="ESBodyText0"/>
        <w:spacing w:before="120" w:line="240" w:lineRule="auto"/>
      </w:pPr>
    </w:p>
    <w:p w:rsidR="009E6D6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5D27E5">
      <w:headerReference w:type="default" r:id="rId35"/>
      <w:footerReference w:type="default" r:id="rId36"/>
      <w:headerReference w:type="first" r:id="rId37"/>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941"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7146675"/>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4918282"/>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A669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Sunshine Heights Primary School</w:t>
    </w:r>
    <w:r>
      <w:rPr>
        <w:noProof/>
        <w:sz w:val="22"/>
        <w:lang w:val="en-AU" w:eastAsia="en-A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471910" cy="512445"/>
          <wp:effectExtent l="0" t="0" r="0" b="1905"/>
          <wp:docPr id="44796389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Sunshine Heights Primary School</w:t>
    </w:r>
    <w:r>
      <w:rPr>
        <w:rStyle w:val="DefaultParagraphFont"/>
        <w:noProof/>
        <w:sz w:val="22"/>
        <w:lang w:val="en-AU" w:eastAsia="en-AU"/>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471910" cy="512445"/>
          <wp:effectExtent l="0" t="0" r="0" b="1905"/>
          <wp:docPr id="891021930"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Sunshine Heights Primary School</w:t>
    </w:r>
    <w:r>
      <w:rPr>
        <w:rStyle w:val="DefaultParagraphFont"/>
        <w:noProof/>
        <w:sz w:val="22"/>
        <w:lang w:val="en-AU" w:eastAsia="en-AU"/>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CB6DE3"/>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hAnsi="Arial" w:eastAsiaTheme="majorEastAsia"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0">
    <w:name w:val="Style1 Char_0"/>
    <w:basedOn w:val="H2Char"/>
    <w:link w:val="Style10"/>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hAnsi="Arial" w:eastAsiaTheme="majorEastAsia"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footer" Target="footer3.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footer" Target="footer4.xml" /><Relationship Id="rId22" Type="http://schemas.openxmlformats.org/officeDocument/2006/relationships/header" Target="header7.xml" /><Relationship Id="rId23" Type="http://schemas.openxmlformats.org/officeDocument/2006/relationships/chart" Target="charts/chart1.xml" /><Relationship Id="rId24" Type="http://schemas.openxmlformats.org/officeDocument/2006/relationships/chart" Target="charts/chart2.xml" /><Relationship Id="rId25" Type="http://schemas.openxmlformats.org/officeDocument/2006/relationships/chart" Target="charts/chart3.xml" /><Relationship Id="rId26" Type="http://schemas.openxmlformats.org/officeDocument/2006/relationships/chart" Target="charts/chart4.xml" /><Relationship Id="rId27" Type="http://schemas.openxmlformats.org/officeDocument/2006/relationships/chart" Target="charts/chart5.xml" /><Relationship Id="rId28" Type="http://schemas.openxmlformats.org/officeDocument/2006/relationships/chart" Target="charts/chart6.xml" /><Relationship Id="rId29" Type="http://schemas.openxmlformats.org/officeDocument/2006/relationships/chart" Target="charts/chart7.xml" /><Relationship Id="rId3" Type="http://schemas.openxmlformats.org/officeDocument/2006/relationships/fontTable" Target="fontTable.xml" /><Relationship Id="rId30" Type="http://schemas.openxmlformats.org/officeDocument/2006/relationships/chart" Target="charts/chart8.xml" /><Relationship Id="rId31" Type="http://schemas.openxmlformats.org/officeDocument/2006/relationships/chart" Target="charts/chart9.xml" /><Relationship Id="rId32" Type="http://schemas.openxmlformats.org/officeDocument/2006/relationships/chart" Target="charts/chart10.xml" /><Relationship Id="rId33" Type="http://schemas.openxmlformats.org/officeDocument/2006/relationships/chart" Target="charts/chart11.xml" /><Relationship Id="rId34" Type="http://schemas.openxmlformats.org/officeDocument/2006/relationships/chart" Target="charts/chart12.xml" /><Relationship Id="rId35" Type="http://schemas.openxmlformats.org/officeDocument/2006/relationships/header" Target="header8.xml" /><Relationship Id="rId36" Type="http://schemas.openxmlformats.org/officeDocument/2006/relationships/footer" Target="footer5.xml" /><Relationship Id="rId37" Type="http://schemas.openxmlformats.org/officeDocument/2006/relationships/header" Target="header9.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4.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5.jpeg" /></Relationships>
</file>

<file path=word/_rels/header8.xml.rels>&#65279;<?xml version="1.0" encoding="utf-8" standalone="yes"?><Relationships xmlns="http://schemas.openxmlformats.org/package/2006/relationships"><Relationship Id="rId1" Type="http://schemas.openxmlformats.org/officeDocument/2006/relationships/image" Target="media/image5.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1.xml" /><Relationship Id="rId3" Type="http://schemas.microsoft.com/office/2011/relationships/chartColorStyle" Target="chart/colors11.xml" /><Relationship Id="rId4"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2.xml" /><Relationship Id="rId3" Type="http://schemas.microsoft.com/office/2011/relationships/chartColorStyle" Target="chart/colors12.xml" /><Relationship Id="rId4" Type="http://schemas.microsoft.com/office/2011/relationships/chartStyle" Target="chart/style12.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0.95</c:v>
                </c:pt>
                <c:pt idx="1">
                  <c:v>0.818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11.630621</c:v>
                </c:pt>
                <c:pt idx="1">
                  <c:v>18.190412</c:v>
                </c:pt>
                <c:pt idx="2">
                  <c:v>14.719496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0.027491408934707903"/>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87547087702121"/>
          <c:w val="0.75070833333333331"/>
          <c:h val="0.57676852569594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c:v>
                </c:pt>
                <c:pt idx="1">
                  <c:v>0.81319</c:v>
                </c:pt>
                <c:pt idx="2">
                  <c:v>0.795023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0.040404040404040407"/>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2216919854715131"/>
          <c:w val="0.75070833333333331"/>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0.770833</c:v>
                </c:pt>
                <c:pt idx="1">
                  <c:v>0.792988</c:v>
                </c:pt>
                <c:pt idx="2">
                  <c:v>0.783963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0.83</c:v>
                </c:pt>
                <c:pt idx="1">
                  <c:v>0.758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0.0653594771241830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0.88601</c:v>
                </c:pt>
                <c:pt idx="1">
                  <c:v>0.787273</c:v>
                </c:pt>
                <c:pt idx="2">
                  <c:v>0.861559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0.881503</c:v>
                </c:pt>
                <c:pt idx="1">
                  <c:v>0.759019</c:v>
                </c:pt>
                <c:pt idx="2">
                  <c:v>0.848943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0.706</c:v>
                </c:pt>
                <c:pt idx="1">
                  <c:v>0.712</c:v>
                </c:pt>
                <c:pt idx="2">
                  <c:v>0.769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0.594</c:v>
                </c:pt>
                <c:pt idx="1">
                  <c:v>0.62</c:v>
                </c:pt>
                <c:pt idx="2">
                  <c:v>0.704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0.551</c:v>
                </c:pt>
                <c:pt idx="1">
                  <c:v>0.549</c:v>
                </c:pt>
                <c:pt idx="2">
                  <c:v>0.676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0.443</c:v>
                </c:pt>
                <c:pt idx="1">
                  <c:v>0.508</c:v>
                </c:pt>
                <c:pt idx="2">
                  <c:v>0.616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a:pPr>
            <a:r>
              <a:rPr lang="en-AU" sz="900" b="1" baseline="0">
                <a:latin typeface="Arial" panose="020B0604020202020204" pitchFamily="34" charset="0"/>
                <a:cs typeface="Arial" panose="020B0604020202020204" pitchFamily="34" charset="0"/>
              </a:rPr>
              <a:t>Year 3 - Year 5</a:t>
            </a:r>
            <a:endParaRPr lang="en-AU" sz="900" b="1">
              <a:latin typeface="Arial" panose="020B0604020202020204" pitchFamily="34" charset="0"/>
              <a:cs typeface="Arial" panose="020B0604020202020204" pitchFamily="34" charset="0"/>
            </a:endParaRPr>
          </a:p>
        </c:rich>
      </c:tx>
      <c:layout>
        <c:manualLayout>
          <c:xMode val="edge"/>
          <c:yMode val="edge"/>
          <c:x val="0.28861039234528513"/>
          <c:y val="0.027422303473491772"/>
        </c:manualLayout>
      </c:layout>
      <c:spPr>
        <a:noFill/>
        <a:ln>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manualLayout>
          <c:layoutTarget val="inner"/>
          <c:xMode val="edge"/>
          <c:yMode val="edge"/>
          <c:x val="0.13730625525571438"/>
          <c:y val="0.15957500157841095"/>
          <c:w val="0.844765069566547"/>
          <c:h val="0.64679203759323911"/>
        </c:manualLayout>
      </c:layout>
      <c:barChart>
        <c:barDir val="col"/>
        <c:grouping val="clustered"/>
        <c:varyColors val="0"/>
        <c:ser>
          <c:idx val="0"/>
          <c:order val="0"/>
          <c:tx>
            <c:strRef>
              <c:f>prisec!$C$111</c:f>
              <c:strCache>
                <c:ptCount val="1"/>
                <c:pt idx="0">
                  <c:v>Low Gain</c:v>
                </c:pt>
              </c:strCache>
            </c:strRef>
          </c:tx>
          <c:spPr>
            <a:pattFill prst="dkDnDiag">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prisec!$C$112:$C$116</c:f>
              <c:numCache>
                <c:formatCode>0%</c:formatCode>
                <c:ptCount val="5"/>
                <c:pt idx="0">
                  <c:v>0.31</c:v>
                </c:pt>
                <c:pt idx="1">
                  <c:v>0.32</c:v>
                </c:pt>
                <c:pt idx="2">
                  <c:v>0.3</c:v>
                </c:pt>
                <c:pt idx="3">
                  <c:v>0.22</c:v>
                </c:pt>
                <c:pt idx="4">
                  <c:v>0.24</c:v>
                </c:pt>
              </c:numCache>
            </c:numRef>
          </c:val>
        </c:ser>
        <c:ser>
          <c:idx val="1"/>
          <c:order val="1"/>
          <c:tx>
            <c:strRef>
              <c:f>prisec!$D$111</c:f>
              <c:strCache>
                <c:ptCount val="1"/>
                <c:pt idx="0">
                  <c:v>Medium Gain</c:v>
                </c:pt>
              </c:strCache>
            </c:strRef>
          </c:tx>
          <c:spPr>
            <a:pattFill prst="pct90">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prisec!$D$112:$D$116</c:f>
              <c:numCache>
                <c:formatCode>0%</c:formatCode>
                <c:ptCount val="5"/>
                <c:pt idx="0">
                  <c:v>0.4</c:v>
                </c:pt>
                <c:pt idx="1">
                  <c:v>0.49</c:v>
                </c:pt>
                <c:pt idx="2">
                  <c:v>0.44</c:v>
                </c:pt>
                <c:pt idx="3">
                  <c:v>0.49</c:v>
                </c:pt>
                <c:pt idx="4">
                  <c:v>0.62</c:v>
                </c:pt>
              </c:numCache>
            </c:numRef>
          </c:val>
        </c:ser>
        <c:ser>
          <c:idx val="2"/>
          <c:order val="2"/>
          <c:tx>
            <c:strRef>
              <c:f>prisec!$E$111</c:f>
              <c:strCache>
                <c:ptCount val="1"/>
                <c:pt idx="0">
                  <c:v>High Gain</c:v>
                </c:pt>
              </c:strCache>
            </c:strRef>
          </c:tx>
          <c:spPr>
            <a:pattFill prst="wdUpDiag">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prisec!$E$112:$E$116</c:f>
              <c:numCache>
                <c:formatCode>0%</c:formatCode>
                <c:ptCount val="5"/>
                <c:pt idx="0">
                  <c:v>0.29</c:v>
                </c:pt>
                <c:pt idx="1">
                  <c:v>0.19</c:v>
                </c:pt>
                <c:pt idx="2">
                  <c:v>0.27</c:v>
                </c:pt>
                <c:pt idx="3">
                  <c:v>0.29</c:v>
                </c:pt>
                <c:pt idx="4">
                  <c:v>0.14</c:v>
                </c:pt>
              </c:numCache>
            </c:numRef>
          </c:val>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catAx>
      <c:valAx>
        <c:axId val="1250540847"/>
        <c:scaling>
          <c:orientation val="minMax"/>
          <c:max val="1"/>
          <c:min val="0"/>
        </c:scaling>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0.018406945187676785"/>
              <c:y val="0.28489578085189077"/>
            </c:manualLayout>
          </c:layout>
          <c:spPr>
            <a:noFill/>
            <a:ln>
              <a:noFill/>
            </a:ln>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0.070517114517238744"/>
          <c:y val="0.90845638860359845"/>
          <c:w val="0.736802662258237"/>
          <c:h val="0.077050857773213133"/>
        </c:manualLayout>
      </c:layout>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Kaitlin Morris</cp:lastModifiedBy>
  <cp:revision>3</cp:revision>
  <dcterms:created xsi:type="dcterms:W3CDTF">2022-02-23T06:44:00Z</dcterms:created>
  <dcterms:modified xsi:type="dcterms:W3CDTF">2022-02-23T06:45:00Z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