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345F4357"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126EC8">
        <w:rPr>
          <w:rFonts w:ascii="Calibri" w:hAnsi="Calibri" w:cs="Calibri"/>
          <w:sz w:val="48"/>
        </w:rPr>
        <w:t xml:space="preserve">     </w:t>
      </w:r>
      <w:r w:rsidR="00E074C2">
        <w:rPr>
          <w:rFonts w:ascii="Calibri" w:hAnsi="Calibri" w:cs="Calibri"/>
          <w:b/>
          <w:sz w:val="32"/>
        </w:rPr>
        <w:t xml:space="preserve">Friday </w:t>
      </w:r>
      <w:r w:rsidR="00126EC8">
        <w:rPr>
          <w:rFonts w:ascii="Calibri" w:hAnsi="Calibri" w:cs="Calibri"/>
          <w:b/>
          <w:sz w:val="32"/>
        </w:rPr>
        <w:t>1 March</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5372EC2A" w14:textId="5B789804" w:rsidR="00A92518" w:rsidRPr="00CA115E" w:rsidRDefault="00E87E16" w:rsidP="00CA115E">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14:paraId="2CED41B2" w14:textId="77777777" w:rsidR="00F761F2" w:rsidRDefault="00F761F2" w:rsidP="00F761F2">
      <w:pPr>
        <w:pStyle w:val="NoSpacing"/>
        <w:numPr>
          <w:ilvl w:val="0"/>
          <w:numId w:val="3"/>
        </w:numPr>
        <w:rPr>
          <w:rFonts w:cs="Calibri"/>
          <w:bCs/>
          <w:sz w:val="24"/>
          <w:szCs w:val="20"/>
        </w:rPr>
      </w:pPr>
      <w:r w:rsidRPr="00967735">
        <w:rPr>
          <w:rFonts w:cs="Calibri"/>
          <w:b/>
          <w:sz w:val="24"/>
          <w:szCs w:val="20"/>
        </w:rPr>
        <w:t>Victorian Careers and Employment Expo</w:t>
      </w:r>
      <w:r>
        <w:rPr>
          <w:rFonts w:cs="Calibri"/>
          <w:bCs/>
          <w:sz w:val="24"/>
          <w:szCs w:val="20"/>
        </w:rPr>
        <w:t xml:space="preserve"> – 14 to 16 March 2024</w:t>
      </w:r>
    </w:p>
    <w:p w14:paraId="1B307460" w14:textId="77777777" w:rsidR="00F761F2" w:rsidRDefault="00F761F2" w:rsidP="00F761F2">
      <w:pPr>
        <w:pStyle w:val="NoSpacing"/>
        <w:ind w:left="720"/>
        <w:rPr>
          <w:rFonts w:asciiTheme="minorHAnsi" w:hAnsiTheme="minorHAnsi" w:cstheme="minorHAnsi"/>
          <w:b/>
          <w:sz w:val="24"/>
          <w:szCs w:val="24"/>
        </w:rPr>
      </w:pPr>
    </w:p>
    <w:p w14:paraId="2FACE6C1" w14:textId="77777777" w:rsidR="006D0207" w:rsidRDefault="006D0207" w:rsidP="00F761F2">
      <w:pPr>
        <w:pStyle w:val="NoSpacing"/>
        <w:ind w:left="720"/>
        <w:rPr>
          <w:rFonts w:asciiTheme="minorHAnsi" w:hAnsiTheme="minorHAnsi" w:cstheme="minorHAnsi"/>
          <w:b/>
          <w:sz w:val="24"/>
          <w:szCs w:val="24"/>
        </w:rPr>
      </w:pPr>
    </w:p>
    <w:p w14:paraId="56C3BC02" w14:textId="77777777" w:rsidR="006D0207" w:rsidRPr="002A65C8" w:rsidRDefault="006D0207" w:rsidP="00F761F2">
      <w:pPr>
        <w:pStyle w:val="NoSpacing"/>
        <w:ind w:left="720"/>
        <w:rPr>
          <w:rFonts w:asciiTheme="minorHAnsi" w:hAnsiTheme="minorHAnsi" w:cstheme="minorHAnsi"/>
          <w:b/>
          <w:sz w:val="24"/>
          <w:szCs w:val="24"/>
        </w:rPr>
      </w:pPr>
    </w:p>
    <w:p w14:paraId="2B22E732" w14:textId="77777777" w:rsidR="006D0207" w:rsidRPr="00CA36C3" w:rsidRDefault="006D0207" w:rsidP="006D0207">
      <w:pPr>
        <w:rPr>
          <w:rFonts w:ascii="Calibri" w:hAnsi="Calibri"/>
          <w:b/>
          <w:sz w:val="28"/>
          <w:szCs w:val="28"/>
          <w:u w:val="single"/>
        </w:rPr>
      </w:pPr>
      <w:r w:rsidRPr="00E15929">
        <w:rPr>
          <w:noProof/>
          <w:sz w:val="26"/>
          <w:szCs w:val="26"/>
          <w:u w:val="single"/>
          <w:lang w:eastAsia="en-AU"/>
        </w:rPr>
        <w:drawing>
          <wp:inline distT="0" distB="0" distL="0" distR="0" wp14:anchorId="5C6166AD" wp14:editId="1FACD4C4">
            <wp:extent cx="2276475" cy="524319"/>
            <wp:effectExtent l="19050" t="0" r="9525" b="0"/>
            <wp:docPr id="10"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9" cstate="print"/>
                    <a:stretch>
                      <a:fillRect/>
                    </a:stretch>
                  </pic:blipFill>
                  <pic:spPr>
                    <a:xfrm>
                      <a:off x="0" y="0"/>
                      <a:ext cx="2276475" cy="524319"/>
                    </a:xfrm>
                    <a:prstGeom prst="rect">
                      <a:avLst/>
                    </a:prstGeom>
                  </pic:spPr>
                </pic:pic>
              </a:graphicData>
            </a:graphic>
          </wp:inline>
        </w:drawing>
      </w:r>
      <w:r w:rsidRPr="00E15929">
        <w:rPr>
          <w:rFonts w:ascii="Calibri" w:hAnsi="Calibri"/>
          <w:b/>
          <w:sz w:val="30"/>
          <w:szCs w:val="30"/>
          <w:u w:val="single"/>
        </w:rPr>
        <w:t xml:space="preserve"> </w:t>
      </w:r>
      <w:r>
        <w:rPr>
          <w:rFonts w:ascii="Calibri" w:hAnsi="Calibri"/>
          <w:b/>
          <w:sz w:val="28"/>
          <w:szCs w:val="28"/>
          <w:u w:val="single"/>
        </w:rPr>
        <w:t>News from Monash University</w:t>
      </w:r>
    </w:p>
    <w:p w14:paraId="750C3464" w14:textId="77777777" w:rsidR="006D0207" w:rsidRPr="00CA36C3" w:rsidRDefault="006D0207" w:rsidP="006D0207">
      <w:pPr>
        <w:pStyle w:val="ListParagraph"/>
        <w:numPr>
          <w:ilvl w:val="0"/>
          <w:numId w:val="12"/>
        </w:numPr>
        <w:contextualSpacing/>
        <w:rPr>
          <w:rFonts w:ascii="Calibri" w:hAnsi="Calibri"/>
          <w:b/>
          <w:sz w:val="28"/>
          <w:szCs w:val="28"/>
          <w:u w:val="single"/>
        </w:rPr>
      </w:pPr>
      <w:r w:rsidRPr="00CA36C3">
        <w:rPr>
          <w:rFonts w:ascii="Calibri" w:hAnsi="Calibri"/>
          <w:b/>
          <w:sz w:val="26"/>
          <w:szCs w:val="26"/>
          <w:u w:val="single"/>
        </w:rPr>
        <w:t>Discover Monash Events</w:t>
      </w:r>
    </w:p>
    <w:p w14:paraId="7042C840" w14:textId="77777777" w:rsidR="006D0207" w:rsidRDefault="006D0207" w:rsidP="006D0207">
      <w:pPr>
        <w:pStyle w:val="NoSpacing"/>
        <w:rPr>
          <w:rFonts w:cs="Calibri"/>
          <w:bCs/>
          <w:sz w:val="24"/>
          <w:szCs w:val="24"/>
        </w:rPr>
      </w:pPr>
      <w:r w:rsidRPr="00B7693D">
        <w:rPr>
          <w:rFonts w:cs="Calibri"/>
          <w:bCs/>
          <w:sz w:val="24"/>
          <w:szCs w:val="24"/>
        </w:rPr>
        <w:t xml:space="preserve">Monash University will be hosting several </w:t>
      </w:r>
      <w:hyperlink r:id="rId10" w:history="1">
        <w:r w:rsidRPr="00B7693D">
          <w:rPr>
            <w:rStyle w:val="Hyperlink"/>
            <w:rFonts w:cs="Calibri"/>
            <w:sz w:val="24"/>
            <w:szCs w:val="24"/>
          </w:rPr>
          <w:t>Discover Monash</w:t>
        </w:r>
      </w:hyperlink>
      <w:r w:rsidRPr="00B7693D">
        <w:rPr>
          <w:rFonts w:cs="Calibri"/>
          <w:bCs/>
          <w:sz w:val="24"/>
          <w:szCs w:val="24"/>
        </w:rPr>
        <w:t xml:space="preserve"> events or activities </w:t>
      </w:r>
      <w:r>
        <w:rPr>
          <w:rFonts w:cs="Calibri"/>
          <w:bCs/>
          <w:sz w:val="24"/>
          <w:szCs w:val="24"/>
        </w:rPr>
        <w:t>over</w:t>
      </w:r>
      <w:r w:rsidRPr="00B7693D">
        <w:rPr>
          <w:rFonts w:cs="Calibri"/>
          <w:bCs/>
          <w:sz w:val="24"/>
          <w:szCs w:val="24"/>
        </w:rPr>
        <w:t xml:space="preserve"> the coming weeks.  </w:t>
      </w:r>
      <w:bookmarkStart w:id="0" w:name="_Hlk127372618"/>
      <w:r w:rsidRPr="00B7693D">
        <w:rPr>
          <w:rFonts w:cs="Calibri"/>
          <w:bCs/>
          <w:sz w:val="24"/>
          <w:szCs w:val="24"/>
        </w:rPr>
        <w:t>Unless specified</w:t>
      </w:r>
      <w:r>
        <w:rPr>
          <w:rFonts w:cs="Calibri"/>
          <w:bCs/>
          <w:sz w:val="24"/>
          <w:szCs w:val="24"/>
        </w:rPr>
        <w:t xml:space="preserve"> online</w:t>
      </w:r>
      <w:r>
        <w:rPr>
          <w:rFonts w:cs="Calibri"/>
          <w:b/>
          <w:sz w:val="24"/>
          <w:szCs w:val="24"/>
        </w:rPr>
        <w:t>**</w:t>
      </w:r>
      <w:r w:rsidRPr="00B7693D">
        <w:rPr>
          <w:rFonts w:cs="Calibri"/>
          <w:bCs/>
          <w:sz w:val="24"/>
          <w:szCs w:val="24"/>
        </w:rPr>
        <w:t>, these will be face-to-face events.</w:t>
      </w:r>
    </w:p>
    <w:p w14:paraId="4D093D0E" w14:textId="77777777" w:rsidR="006D0207" w:rsidRDefault="006D0207" w:rsidP="006D0207">
      <w:pPr>
        <w:pStyle w:val="NoSpacing"/>
        <w:rPr>
          <w:rFonts w:cs="Calibri"/>
          <w:bCs/>
          <w:sz w:val="24"/>
          <w:szCs w:val="24"/>
        </w:rPr>
      </w:pPr>
    </w:p>
    <w:p w14:paraId="76781B06" w14:textId="77777777" w:rsidR="006D0207" w:rsidRPr="00B7693D" w:rsidRDefault="006D0207" w:rsidP="006D0207">
      <w:pPr>
        <w:pStyle w:val="NoSpacing"/>
        <w:rPr>
          <w:rFonts w:cs="Calibri"/>
          <w:bCs/>
          <w:sz w:val="24"/>
          <w:szCs w:val="24"/>
        </w:rPr>
      </w:pPr>
      <w:r>
        <w:rPr>
          <w:rFonts w:cs="Calibri"/>
          <w:bCs/>
          <w:sz w:val="24"/>
          <w:szCs w:val="24"/>
        </w:rPr>
        <w:t>Participating in one or more of these events will assist students in making informed choices about their study options after Year 12.</w:t>
      </w:r>
      <w:r w:rsidRPr="00B7693D">
        <w:rPr>
          <w:rFonts w:cs="Calibri"/>
          <w:bCs/>
          <w:sz w:val="24"/>
          <w:szCs w:val="24"/>
        </w:rPr>
        <w:br/>
      </w:r>
    </w:p>
    <w:bookmarkEnd w:id="0"/>
    <w:p w14:paraId="78B1A651" w14:textId="77777777" w:rsidR="006D0207" w:rsidRPr="00B7693D" w:rsidRDefault="006D0207" w:rsidP="006D0207">
      <w:pPr>
        <w:pStyle w:val="NoSpacing"/>
        <w:rPr>
          <w:rFonts w:cs="Calibri"/>
          <w:b/>
          <w:sz w:val="24"/>
          <w:szCs w:val="24"/>
          <w:highlight w:val="yellow"/>
          <w:u w:val="single"/>
        </w:rPr>
      </w:pPr>
      <w:r w:rsidRPr="00B7693D">
        <w:rPr>
          <w:bCs/>
          <w:sz w:val="24"/>
          <w:szCs w:val="24"/>
        </w:rPr>
        <w:t xml:space="preserve">The following events will take place </w:t>
      </w:r>
      <w:r>
        <w:rPr>
          <w:bCs/>
          <w:sz w:val="24"/>
          <w:szCs w:val="24"/>
        </w:rPr>
        <w:t xml:space="preserve">from </w:t>
      </w:r>
      <w:r w:rsidRPr="00E15929">
        <w:rPr>
          <w:bCs/>
          <w:sz w:val="24"/>
          <w:szCs w:val="24"/>
          <w:u w:val="single"/>
        </w:rPr>
        <w:t xml:space="preserve">March until </w:t>
      </w:r>
      <w:r w:rsidRPr="00A053E9">
        <w:rPr>
          <w:bCs/>
          <w:sz w:val="24"/>
          <w:szCs w:val="24"/>
          <w:u w:val="single"/>
        </w:rPr>
        <w:t>May</w:t>
      </w:r>
      <w:r>
        <w:rPr>
          <w:bCs/>
          <w:sz w:val="24"/>
          <w:szCs w:val="24"/>
        </w:rPr>
        <w:t xml:space="preserve"> and students are encouraged to register early.  </w:t>
      </w:r>
      <w:r w:rsidRPr="002C46CB">
        <w:rPr>
          <w:b/>
          <w:sz w:val="24"/>
          <w:szCs w:val="24"/>
        </w:rPr>
        <w:t>For a complete list</w:t>
      </w:r>
      <w:r>
        <w:rPr>
          <w:b/>
          <w:sz w:val="24"/>
          <w:szCs w:val="24"/>
        </w:rPr>
        <w:t>,</w:t>
      </w:r>
      <w:r w:rsidRPr="002C46CB">
        <w:rPr>
          <w:b/>
          <w:sz w:val="24"/>
          <w:szCs w:val="24"/>
        </w:rPr>
        <w:t xml:space="preserve"> and to register, visit</w:t>
      </w:r>
      <w:r>
        <w:rPr>
          <w:bCs/>
          <w:sz w:val="24"/>
          <w:szCs w:val="24"/>
        </w:rPr>
        <w:t xml:space="preserve"> </w:t>
      </w:r>
      <w:hyperlink r:id="rId11" w:history="1">
        <w:r w:rsidRPr="00E15929">
          <w:rPr>
            <w:rStyle w:val="Hyperlink"/>
            <w:b/>
            <w:sz w:val="24"/>
            <w:szCs w:val="24"/>
          </w:rPr>
          <w:t>Events Calendar - Discover Monash</w:t>
        </w:r>
      </w:hyperlink>
      <w:r>
        <w:rPr>
          <w:b/>
          <w:bCs/>
          <w:sz w:val="24"/>
          <w:szCs w:val="24"/>
        </w:rPr>
        <w:t>.</w:t>
      </w:r>
      <w:r>
        <w:t xml:space="preserve"> </w:t>
      </w:r>
      <w:r w:rsidRPr="00B7693D">
        <w:rPr>
          <w:bCs/>
          <w:sz w:val="24"/>
          <w:szCs w:val="24"/>
        </w:rPr>
        <w:br/>
      </w:r>
    </w:p>
    <w:tbl>
      <w:tblPr>
        <w:tblStyle w:val="TableGrid"/>
        <w:tblW w:w="10485" w:type="dxa"/>
        <w:jc w:val="center"/>
        <w:tblLook w:val="04A0" w:firstRow="1" w:lastRow="0" w:firstColumn="1" w:lastColumn="0" w:noHBand="0" w:noVBand="1"/>
      </w:tblPr>
      <w:tblGrid>
        <w:gridCol w:w="6658"/>
        <w:gridCol w:w="3827"/>
      </w:tblGrid>
      <w:tr w:rsidR="006D0207" w:rsidRPr="007561D3" w14:paraId="64C51169" w14:textId="77777777" w:rsidTr="000859A9">
        <w:trPr>
          <w:jc w:val="center"/>
        </w:trPr>
        <w:tc>
          <w:tcPr>
            <w:tcW w:w="6658" w:type="dxa"/>
            <w:shd w:val="clear" w:color="auto" w:fill="D3E5F6" w:themeFill="accent3" w:themeFillTint="33"/>
          </w:tcPr>
          <w:p w14:paraId="52467C6B" w14:textId="77777777" w:rsidR="006D0207" w:rsidRPr="007561D3" w:rsidRDefault="006D0207" w:rsidP="000859A9">
            <w:pPr>
              <w:rPr>
                <w:rFonts w:ascii="Calibri" w:hAnsi="Calibri"/>
                <w:b/>
                <w:sz w:val="22"/>
                <w:szCs w:val="22"/>
              </w:rPr>
            </w:pPr>
            <w:r w:rsidRPr="007561D3">
              <w:rPr>
                <w:rFonts w:ascii="Calibri" w:hAnsi="Calibri"/>
                <w:b/>
                <w:sz w:val="22"/>
                <w:szCs w:val="22"/>
              </w:rPr>
              <w:t>Information Evening – Melbourne City at Monash College</w:t>
            </w:r>
          </w:p>
        </w:tc>
        <w:tc>
          <w:tcPr>
            <w:tcW w:w="3827" w:type="dxa"/>
          </w:tcPr>
          <w:p w14:paraId="751FEC9C" w14:textId="77777777" w:rsidR="006D0207" w:rsidRPr="007561D3" w:rsidRDefault="006D0207" w:rsidP="000859A9">
            <w:pPr>
              <w:rPr>
                <w:rFonts w:ascii="Calibri" w:hAnsi="Calibri"/>
                <w:bCs/>
                <w:sz w:val="22"/>
                <w:szCs w:val="22"/>
              </w:rPr>
            </w:pPr>
            <w:r w:rsidRPr="007561D3">
              <w:rPr>
                <w:rFonts w:ascii="Calibri" w:hAnsi="Calibri"/>
                <w:bCs/>
                <w:sz w:val="22"/>
                <w:szCs w:val="22"/>
              </w:rPr>
              <w:t>Tuesday 5 March, 6.30</w:t>
            </w:r>
            <w:r>
              <w:rPr>
                <w:rFonts w:ascii="Calibri" w:hAnsi="Calibri"/>
                <w:bCs/>
                <w:sz w:val="22"/>
                <w:szCs w:val="22"/>
              </w:rPr>
              <w:t>pm</w:t>
            </w:r>
            <w:r w:rsidRPr="007561D3">
              <w:rPr>
                <w:rFonts w:ascii="Calibri" w:hAnsi="Calibri"/>
                <w:bCs/>
                <w:sz w:val="22"/>
                <w:szCs w:val="22"/>
              </w:rPr>
              <w:t xml:space="preserve"> - 8.00pm</w:t>
            </w:r>
          </w:p>
        </w:tc>
      </w:tr>
      <w:tr w:rsidR="006D0207" w:rsidRPr="007561D3" w14:paraId="7D26B0E1" w14:textId="77777777" w:rsidTr="000859A9">
        <w:trPr>
          <w:jc w:val="center"/>
        </w:trPr>
        <w:tc>
          <w:tcPr>
            <w:tcW w:w="6658" w:type="dxa"/>
            <w:shd w:val="clear" w:color="auto" w:fill="D3E5F6" w:themeFill="accent3" w:themeFillTint="33"/>
          </w:tcPr>
          <w:p w14:paraId="7739C2FB" w14:textId="77777777" w:rsidR="006D0207" w:rsidRPr="007561D3" w:rsidRDefault="006D0207" w:rsidP="000859A9">
            <w:pPr>
              <w:rPr>
                <w:rFonts w:ascii="Calibri" w:hAnsi="Calibri"/>
                <w:b/>
                <w:sz w:val="22"/>
                <w:szCs w:val="22"/>
              </w:rPr>
            </w:pPr>
            <w:r>
              <w:rPr>
                <w:rFonts w:ascii="Calibri" w:hAnsi="Calibri"/>
                <w:b/>
                <w:sz w:val="22"/>
                <w:szCs w:val="22"/>
              </w:rPr>
              <w:t>Discover Medicine **</w:t>
            </w:r>
          </w:p>
        </w:tc>
        <w:tc>
          <w:tcPr>
            <w:tcW w:w="3827" w:type="dxa"/>
          </w:tcPr>
          <w:p w14:paraId="7DFA0F37" w14:textId="77777777" w:rsidR="006D0207" w:rsidRPr="007561D3" w:rsidRDefault="006D0207" w:rsidP="000859A9">
            <w:pPr>
              <w:rPr>
                <w:rFonts w:ascii="Calibri" w:hAnsi="Calibri"/>
                <w:bCs/>
                <w:sz w:val="22"/>
                <w:szCs w:val="22"/>
              </w:rPr>
            </w:pPr>
            <w:r>
              <w:rPr>
                <w:rFonts w:ascii="Calibri" w:hAnsi="Calibri"/>
                <w:bCs/>
                <w:sz w:val="22"/>
                <w:szCs w:val="22"/>
              </w:rPr>
              <w:t>Thursday 21 March, 5.30pm – 6.30pm</w:t>
            </w:r>
          </w:p>
        </w:tc>
      </w:tr>
      <w:tr w:rsidR="006D0207" w:rsidRPr="007561D3" w14:paraId="21307278" w14:textId="77777777" w:rsidTr="000859A9">
        <w:trPr>
          <w:jc w:val="center"/>
        </w:trPr>
        <w:tc>
          <w:tcPr>
            <w:tcW w:w="6658" w:type="dxa"/>
            <w:shd w:val="clear" w:color="auto" w:fill="D3E5F6" w:themeFill="accent3" w:themeFillTint="33"/>
          </w:tcPr>
          <w:p w14:paraId="505CAA56" w14:textId="77777777" w:rsidR="006D0207" w:rsidRDefault="006D0207" w:rsidP="000859A9">
            <w:pPr>
              <w:rPr>
                <w:rFonts w:ascii="Calibri" w:hAnsi="Calibri"/>
                <w:b/>
                <w:sz w:val="22"/>
                <w:szCs w:val="22"/>
              </w:rPr>
            </w:pPr>
            <w:r>
              <w:rPr>
                <w:rFonts w:ascii="Calibri" w:hAnsi="Calibri"/>
                <w:b/>
                <w:sz w:val="22"/>
                <w:szCs w:val="22"/>
              </w:rPr>
              <w:t>Information Evening – Peninsula Campus</w:t>
            </w:r>
          </w:p>
        </w:tc>
        <w:tc>
          <w:tcPr>
            <w:tcW w:w="3827" w:type="dxa"/>
          </w:tcPr>
          <w:p w14:paraId="0DFF962A" w14:textId="77777777" w:rsidR="006D0207" w:rsidRDefault="006D0207" w:rsidP="000859A9">
            <w:pPr>
              <w:rPr>
                <w:rFonts w:ascii="Calibri" w:hAnsi="Calibri"/>
                <w:bCs/>
                <w:sz w:val="22"/>
                <w:szCs w:val="22"/>
              </w:rPr>
            </w:pPr>
            <w:r>
              <w:rPr>
                <w:rFonts w:ascii="Calibri" w:hAnsi="Calibri"/>
                <w:bCs/>
                <w:sz w:val="22"/>
                <w:szCs w:val="22"/>
              </w:rPr>
              <w:t>Tuesday 26 March, 6.30pm – 8.00pm</w:t>
            </w:r>
          </w:p>
        </w:tc>
      </w:tr>
      <w:tr w:rsidR="006D0207" w:rsidRPr="007561D3" w14:paraId="38AF9F7E" w14:textId="77777777" w:rsidTr="000859A9">
        <w:trPr>
          <w:jc w:val="center"/>
        </w:trPr>
        <w:tc>
          <w:tcPr>
            <w:tcW w:w="6658" w:type="dxa"/>
            <w:shd w:val="clear" w:color="auto" w:fill="D3E5F6" w:themeFill="accent3" w:themeFillTint="33"/>
          </w:tcPr>
          <w:p w14:paraId="5AA43BAF" w14:textId="77777777" w:rsidR="006D0207" w:rsidRPr="00462B57" w:rsidRDefault="006D0207" w:rsidP="000859A9">
            <w:pPr>
              <w:rPr>
                <w:rFonts w:ascii="Calibri" w:hAnsi="Calibri"/>
                <w:b/>
                <w:sz w:val="22"/>
                <w:szCs w:val="22"/>
              </w:rPr>
            </w:pPr>
            <w:r w:rsidRPr="00462B57">
              <w:rPr>
                <w:rFonts w:ascii="Calibri" w:hAnsi="Calibri"/>
                <w:b/>
                <w:sz w:val="22"/>
                <w:szCs w:val="22"/>
              </w:rPr>
              <w:t>Clayton Campus Tour</w:t>
            </w:r>
          </w:p>
        </w:tc>
        <w:tc>
          <w:tcPr>
            <w:tcW w:w="3827" w:type="dxa"/>
          </w:tcPr>
          <w:p w14:paraId="69929D76" w14:textId="77777777" w:rsidR="006D0207" w:rsidRPr="00462B57" w:rsidRDefault="006D0207" w:rsidP="000859A9">
            <w:pPr>
              <w:rPr>
                <w:rFonts w:ascii="Calibri" w:hAnsi="Calibri"/>
                <w:bCs/>
                <w:sz w:val="22"/>
                <w:szCs w:val="22"/>
              </w:rPr>
            </w:pPr>
            <w:r w:rsidRPr="00462B57">
              <w:rPr>
                <w:rFonts w:ascii="Calibri" w:hAnsi="Calibri"/>
                <w:bCs/>
                <w:sz w:val="22"/>
                <w:szCs w:val="22"/>
              </w:rPr>
              <w:t>Thursday 11 April, 10.00am – 11.30am</w:t>
            </w:r>
          </w:p>
        </w:tc>
      </w:tr>
      <w:tr w:rsidR="006D0207" w:rsidRPr="007561D3" w14:paraId="0E792173" w14:textId="77777777" w:rsidTr="000859A9">
        <w:trPr>
          <w:jc w:val="center"/>
        </w:trPr>
        <w:tc>
          <w:tcPr>
            <w:tcW w:w="6658" w:type="dxa"/>
            <w:shd w:val="clear" w:color="auto" w:fill="D3E5F6" w:themeFill="accent3" w:themeFillTint="33"/>
          </w:tcPr>
          <w:p w14:paraId="448686A1" w14:textId="77777777" w:rsidR="006D0207" w:rsidRPr="00182C7C" w:rsidRDefault="006D0207" w:rsidP="000859A9">
            <w:pPr>
              <w:rPr>
                <w:rFonts w:ascii="Calibri" w:hAnsi="Calibri"/>
                <w:b/>
                <w:sz w:val="22"/>
                <w:szCs w:val="22"/>
              </w:rPr>
            </w:pPr>
            <w:r w:rsidRPr="00182C7C">
              <w:rPr>
                <w:rFonts w:ascii="Calibri" w:hAnsi="Calibri"/>
                <w:b/>
                <w:sz w:val="22"/>
                <w:szCs w:val="22"/>
              </w:rPr>
              <w:t>Peninsula Campus Tour</w:t>
            </w:r>
          </w:p>
        </w:tc>
        <w:tc>
          <w:tcPr>
            <w:tcW w:w="3827" w:type="dxa"/>
          </w:tcPr>
          <w:p w14:paraId="77E7B0DE" w14:textId="77777777" w:rsidR="006D0207" w:rsidRPr="00462B57" w:rsidRDefault="006D0207" w:rsidP="000859A9">
            <w:pPr>
              <w:rPr>
                <w:rFonts w:ascii="Calibri" w:hAnsi="Calibri"/>
                <w:bCs/>
                <w:sz w:val="22"/>
                <w:szCs w:val="22"/>
              </w:rPr>
            </w:pPr>
            <w:r w:rsidRPr="00462B57">
              <w:rPr>
                <w:rFonts w:ascii="Calibri" w:hAnsi="Calibri"/>
                <w:bCs/>
                <w:sz w:val="22"/>
                <w:szCs w:val="22"/>
              </w:rPr>
              <w:t xml:space="preserve">Thursday 11 April, </w:t>
            </w:r>
            <w:r>
              <w:rPr>
                <w:rFonts w:ascii="Calibri" w:hAnsi="Calibri"/>
                <w:bCs/>
                <w:sz w:val="22"/>
                <w:szCs w:val="22"/>
              </w:rPr>
              <w:t>2.00pm – 3.15pm</w:t>
            </w:r>
          </w:p>
        </w:tc>
      </w:tr>
      <w:tr w:rsidR="006D0207" w:rsidRPr="007561D3" w14:paraId="414E6F57" w14:textId="77777777" w:rsidTr="000859A9">
        <w:trPr>
          <w:jc w:val="center"/>
        </w:trPr>
        <w:tc>
          <w:tcPr>
            <w:tcW w:w="6658" w:type="dxa"/>
            <w:shd w:val="clear" w:color="auto" w:fill="D3E5F6" w:themeFill="accent3" w:themeFillTint="33"/>
          </w:tcPr>
          <w:p w14:paraId="5804E25D" w14:textId="77777777" w:rsidR="006D0207" w:rsidRPr="00182C7C" w:rsidRDefault="006D0207" w:rsidP="000859A9">
            <w:pPr>
              <w:rPr>
                <w:rFonts w:ascii="Calibri" w:hAnsi="Calibri"/>
                <w:b/>
                <w:sz w:val="22"/>
                <w:szCs w:val="22"/>
              </w:rPr>
            </w:pPr>
            <w:r w:rsidRPr="00182C7C">
              <w:rPr>
                <w:rFonts w:ascii="Calibri" w:hAnsi="Calibri"/>
                <w:b/>
                <w:sz w:val="22"/>
                <w:szCs w:val="22"/>
              </w:rPr>
              <w:t xml:space="preserve">Caulfield Campus Tour </w:t>
            </w:r>
          </w:p>
        </w:tc>
        <w:tc>
          <w:tcPr>
            <w:tcW w:w="3827" w:type="dxa"/>
          </w:tcPr>
          <w:p w14:paraId="4E6CDC5B" w14:textId="77777777" w:rsidR="006D0207" w:rsidRPr="00462B57" w:rsidRDefault="006D0207" w:rsidP="000859A9">
            <w:pPr>
              <w:rPr>
                <w:rFonts w:ascii="Calibri" w:hAnsi="Calibri"/>
                <w:bCs/>
                <w:sz w:val="22"/>
                <w:szCs w:val="22"/>
              </w:rPr>
            </w:pPr>
            <w:r>
              <w:rPr>
                <w:rFonts w:ascii="Calibri" w:hAnsi="Calibri"/>
                <w:bCs/>
                <w:sz w:val="22"/>
                <w:szCs w:val="22"/>
              </w:rPr>
              <w:t>Friday 12 April, 10.00am – 11.15am</w:t>
            </w:r>
          </w:p>
        </w:tc>
      </w:tr>
      <w:tr w:rsidR="006D0207" w:rsidRPr="007561D3" w14:paraId="37DDE99B" w14:textId="77777777" w:rsidTr="000859A9">
        <w:trPr>
          <w:jc w:val="center"/>
        </w:trPr>
        <w:tc>
          <w:tcPr>
            <w:tcW w:w="6658" w:type="dxa"/>
            <w:shd w:val="clear" w:color="auto" w:fill="D3E5F6" w:themeFill="accent3" w:themeFillTint="33"/>
          </w:tcPr>
          <w:p w14:paraId="7912461A" w14:textId="77777777" w:rsidR="006D0207" w:rsidRPr="009928B9" w:rsidRDefault="006D0207" w:rsidP="000859A9">
            <w:pPr>
              <w:rPr>
                <w:rFonts w:ascii="Calibri" w:hAnsi="Calibri"/>
                <w:b/>
                <w:sz w:val="22"/>
                <w:szCs w:val="22"/>
              </w:rPr>
            </w:pPr>
            <w:r w:rsidRPr="009928B9">
              <w:rPr>
                <w:rFonts w:ascii="Calibri" w:hAnsi="Calibri"/>
                <w:b/>
                <w:sz w:val="22"/>
                <w:szCs w:val="22"/>
              </w:rPr>
              <w:t>Discover Business</w:t>
            </w:r>
          </w:p>
        </w:tc>
        <w:tc>
          <w:tcPr>
            <w:tcW w:w="3827" w:type="dxa"/>
          </w:tcPr>
          <w:p w14:paraId="4D184A0E" w14:textId="77777777" w:rsidR="006D0207" w:rsidRPr="007561D3" w:rsidRDefault="006D0207" w:rsidP="000859A9">
            <w:pPr>
              <w:rPr>
                <w:rFonts w:ascii="Calibri" w:hAnsi="Calibri"/>
                <w:bCs/>
                <w:sz w:val="22"/>
                <w:szCs w:val="22"/>
                <w:highlight w:val="yellow"/>
              </w:rPr>
            </w:pPr>
            <w:r>
              <w:rPr>
                <w:rFonts w:ascii="Calibri" w:hAnsi="Calibri"/>
                <w:bCs/>
                <w:sz w:val="22"/>
                <w:szCs w:val="22"/>
              </w:rPr>
              <w:t>Friday 12 April, 12.00pm – 1.00pm</w:t>
            </w:r>
          </w:p>
        </w:tc>
      </w:tr>
      <w:tr w:rsidR="006D0207" w:rsidRPr="007561D3" w14:paraId="65790431" w14:textId="77777777" w:rsidTr="000859A9">
        <w:trPr>
          <w:jc w:val="center"/>
        </w:trPr>
        <w:tc>
          <w:tcPr>
            <w:tcW w:w="6658" w:type="dxa"/>
            <w:shd w:val="clear" w:color="auto" w:fill="D3E5F6" w:themeFill="accent3" w:themeFillTint="33"/>
          </w:tcPr>
          <w:p w14:paraId="5757B613" w14:textId="77777777" w:rsidR="006D0207" w:rsidRPr="007561D3" w:rsidRDefault="006D0207" w:rsidP="000859A9">
            <w:pPr>
              <w:rPr>
                <w:rFonts w:ascii="Calibri" w:hAnsi="Calibri"/>
                <w:b/>
                <w:sz w:val="22"/>
                <w:szCs w:val="22"/>
                <w:highlight w:val="yellow"/>
              </w:rPr>
            </w:pPr>
            <w:r w:rsidRPr="00462B57">
              <w:rPr>
                <w:rFonts w:ascii="Calibri" w:hAnsi="Calibri"/>
                <w:b/>
                <w:sz w:val="22"/>
                <w:szCs w:val="22"/>
              </w:rPr>
              <w:t>Clayton Campus Tour</w:t>
            </w:r>
          </w:p>
        </w:tc>
        <w:tc>
          <w:tcPr>
            <w:tcW w:w="3827" w:type="dxa"/>
          </w:tcPr>
          <w:p w14:paraId="5AF0DDC7" w14:textId="77777777" w:rsidR="006D0207" w:rsidRPr="007561D3" w:rsidRDefault="006D0207" w:rsidP="000859A9">
            <w:pPr>
              <w:rPr>
                <w:rFonts w:ascii="Calibri" w:hAnsi="Calibri"/>
                <w:bCs/>
                <w:sz w:val="22"/>
                <w:szCs w:val="22"/>
                <w:highlight w:val="yellow"/>
              </w:rPr>
            </w:pPr>
            <w:r>
              <w:rPr>
                <w:rFonts w:ascii="Calibri" w:hAnsi="Calibri"/>
                <w:bCs/>
                <w:sz w:val="22"/>
                <w:szCs w:val="22"/>
              </w:rPr>
              <w:t>Friday 12 April, 2.00pm – 3.30pm</w:t>
            </w:r>
          </w:p>
        </w:tc>
      </w:tr>
      <w:tr w:rsidR="006D0207" w:rsidRPr="007561D3" w14:paraId="0AFD8E2C" w14:textId="77777777" w:rsidTr="000859A9">
        <w:trPr>
          <w:jc w:val="center"/>
        </w:trPr>
        <w:tc>
          <w:tcPr>
            <w:tcW w:w="6658" w:type="dxa"/>
            <w:shd w:val="clear" w:color="auto" w:fill="D3E5F6" w:themeFill="accent3" w:themeFillTint="33"/>
          </w:tcPr>
          <w:p w14:paraId="6EA2B107" w14:textId="77777777" w:rsidR="006D0207" w:rsidRPr="00534CE9" w:rsidRDefault="006D0207" w:rsidP="000859A9">
            <w:pPr>
              <w:rPr>
                <w:rFonts w:ascii="Calibri" w:hAnsi="Calibri"/>
                <w:b/>
                <w:sz w:val="22"/>
                <w:szCs w:val="22"/>
              </w:rPr>
            </w:pPr>
            <w:r w:rsidRPr="00534CE9">
              <w:rPr>
                <w:rFonts w:ascii="Calibri" w:hAnsi="Calibri"/>
                <w:b/>
                <w:sz w:val="22"/>
                <w:szCs w:val="22"/>
              </w:rPr>
              <w:t>Discover Pharmacy and Pharmaceutical Sciences **</w:t>
            </w:r>
          </w:p>
        </w:tc>
        <w:tc>
          <w:tcPr>
            <w:tcW w:w="3827" w:type="dxa"/>
          </w:tcPr>
          <w:p w14:paraId="726E4297" w14:textId="77777777" w:rsidR="006D0207" w:rsidRPr="00BB54A7" w:rsidRDefault="006D0207" w:rsidP="000859A9">
            <w:pPr>
              <w:rPr>
                <w:rFonts w:ascii="Calibri" w:hAnsi="Calibri"/>
                <w:bCs/>
                <w:sz w:val="22"/>
                <w:szCs w:val="22"/>
              </w:rPr>
            </w:pPr>
            <w:r w:rsidRPr="00BB54A7">
              <w:rPr>
                <w:rFonts w:ascii="Calibri" w:hAnsi="Calibri"/>
                <w:bCs/>
                <w:sz w:val="22"/>
                <w:szCs w:val="22"/>
              </w:rPr>
              <w:t>Thursday 18 April, 6.00pm – 7.00pm</w:t>
            </w:r>
          </w:p>
        </w:tc>
      </w:tr>
      <w:tr w:rsidR="006D0207" w:rsidRPr="007561D3" w14:paraId="66A281E8" w14:textId="77777777" w:rsidTr="000859A9">
        <w:trPr>
          <w:jc w:val="center"/>
        </w:trPr>
        <w:tc>
          <w:tcPr>
            <w:tcW w:w="6658" w:type="dxa"/>
            <w:shd w:val="clear" w:color="auto" w:fill="D3E5F6" w:themeFill="accent3" w:themeFillTint="33"/>
          </w:tcPr>
          <w:p w14:paraId="3C43F671" w14:textId="77777777" w:rsidR="006D0207" w:rsidRPr="00FF7B1C" w:rsidRDefault="006D0207" w:rsidP="000859A9">
            <w:pPr>
              <w:rPr>
                <w:rFonts w:ascii="Calibri" w:hAnsi="Calibri"/>
                <w:b/>
                <w:sz w:val="22"/>
                <w:szCs w:val="22"/>
              </w:rPr>
            </w:pPr>
            <w:r w:rsidRPr="00FF7B1C">
              <w:rPr>
                <w:rFonts w:ascii="Calibri" w:hAnsi="Calibri"/>
                <w:b/>
                <w:sz w:val="22"/>
                <w:szCs w:val="22"/>
              </w:rPr>
              <w:t>Discover Information Technology</w:t>
            </w:r>
          </w:p>
        </w:tc>
        <w:tc>
          <w:tcPr>
            <w:tcW w:w="3827" w:type="dxa"/>
          </w:tcPr>
          <w:p w14:paraId="16521955" w14:textId="77777777" w:rsidR="006D0207" w:rsidRPr="00FF7B1C" w:rsidRDefault="006D0207" w:rsidP="000859A9">
            <w:pPr>
              <w:rPr>
                <w:rFonts w:ascii="Calibri" w:hAnsi="Calibri"/>
                <w:bCs/>
                <w:sz w:val="22"/>
                <w:szCs w:val="22"/>
              </w:rPr>
            </w:pPr>
            <w:r w:rsidRPr="00FF7B1C">
              <w:rPr>
                <w:rFonts w:ascii="Calibri" w:hAnsi="Calibri"/>
                <w:bCs/>
                <w:sz w:val="22"/>
                <w:szCs w:val="22"/>
              </w:rPr>
              <w:t>Wednesday 24 April, 6.00pm – 7.00pm</w:t>
            </w:r>
          </w:p>
        </w:tc>
      </w:tr>
      <w:tr w:rsidR="006D0207" w:rsidRPr="007561D3" w14:paraId="65D3850C" w14:textId="77777777" w:rsidTr="000859A9">
        <w:trPr>
          <w:jc w:val="center"/>
        </w:trPr>
        <w:tc>
          <w:tcPr>
            <w:tcW w:w="6658" w:type="dxa"/>
            <w:shd w:val="clear" w:color="auto" w:fill="D3E5F6" w:themeFill="accent3" w:themeFillTint="33"/>
          </w:tcPr>
          <w:p w14:paraId="035E8BAF" w14:textId="77777777" w:rsidR="006D0207" w:rsidRPr="006511E9" w:rsidRDefault="006D0207" w:rsidP="000859A9">
            <w:pPr>
              <w:rPr>
                <w:rFonts w:ascii="Calibri" w:hAnsi="Calibri"/>
                <w:b/>
                <w:sz w:val="22"/>
                <w:szCs w:val="22"/>
              </w:rPr>
            </w:pPr>
            <w:r w:rsidRPr="006511E9">
              <w:rPr>
                <w:rFonts w:ascii="Calibri" w:hAnsi="Calibri"/>
                <w:b/>
                <w:sz w:val="22"/>
                <w:szCs w:val="22"/>
              </w:rPr>
              <w:t>Discover Nursing &amp; Midwifery</w:t>
            </w:r>
            <w:r>
              <w:rPr>
                <w:rFonts w:ascii="Calibri" w:hAnsi="Calibri"/>
                <w:b/>
                <w:sz w:val="22"/>
                <w:szCs w:val="22"/>
              </w:rPr>
              <w:t xml:space="preserve"> </w:t>
            </w:r>
            <w:r w:rsidRPr="006511E9">
              <w:rPr>
                <w:rFonts w:ascii="Calibri" w:hAnsi="Calibri"/>
                <w:b/>
                <w:sz w:val="22"/>
                <w:szCs w:val="22"/>
              </w:rPr>
              <w:t>**</w:t>
            </w:r>
          </w:p>
        </w:tc>
        <w:tc>
          <w:tcPr>
            <w:tcW w:w="3827" w:type="dxa"/>
          </w:tcPr>
          <w:p w14:paraId="5D21695A" w14:textId="77777777" w:rsidR="006D0207" w:rsidRPr="006511E9" w:rsidRDefault="006D0207" w:rsidP="000859A9">
            <w:pPr>
              <w:rPr>
                <w:rFonts w:ascii="Calibri" w:hAnsi="Calibri"/>
                <w:bCs/>
                <w:sz w:val="22"/>
                <w:szCs w:val="22"/>
              </w:rPr>
            </w:pPr>
            <w:r>
              <w:rPr>
                <w:rFonts w:ascii="Calibri" w:hAnsi="Calibri"/>
                <w:bCs/>
                <w:sz w:val="22"/>
                <w:szCs w:val="22"/>
              </w:rPr>
              <w:t xml:space="preserve">Wednesday 8 </w:t>
            </w:r>
            <w:r w:rsidRPr="006511E9">
              <w:rPr>
                <w:rFonts w:ascii="Calibri" w:hAnsi="Calibri"/>
                <w:bCs/>
                <w:sz w:val="22"/>
                <w:szCs w:val="22"/>
              </w:rPr>
              <w:t>May, 5.</w:t>
            </w:r>
            <w:r>
              <w:rPr>
                <w:rFonts w:ascii="Calibri" w:hAnsi="Calibri"/>
                <w:bCs/>
                <w:sz w:val="22"/>
                <w:szCs w:val="22"/>
              </w:rPr>
              <w:t>3</w:t>
            </w:r>
            <w:r w:rsidRPr="006511E9">
              <w:rPr>
                <w:rFonts w:ascii="Calibri" w:hAnsi="Calibri"/>
                <w:bCs/>
                <w:sz w:val="22"/>
                <w:szCs w:val="22"/>
              </w:rPr>
              <w:t>0pm</w:t>
            </w:r>
            <w:r>
              <w:rPr>
                <w:rFonts w:ascii="Calibri" w:hAnsi="Calibri"/>
                <w:bCs/>
                <w:sz w:val="22"/>
                <w:szCs w:val="22"/>
              </w:rPr>
              <w:t xml:space="preserve"> – 6.45pm</w:t>
            </w:r>
          </w:p>
        </w:tc>
      </w:tr>
      <w:tr w:rsidR="006D0207" w:rsidRPr="007561D3" w14:paraId="6C987706" w14:textId="77777777" w:rsidTr="000859A9">
        <w:trPr>
          <w:jc w:val="center"/>
        </w:trPr>
        <w:tc>
          <w:tcPr>
            <w:tcW w:w="6658" w:type="dxa"/>
            <w:shd w:val="clear" w:color="auto" w:fill="D3E5F6" w:themeFill="accent3" w:themeFillTint="33"/>
          </w:tcPr>
          <w:p w14:paraId="7EA41803" w14:textId="77777777" w:rsidR="006D0207" w:rsidRPr="00BF307C" w:rsidRDefault="006D0207" w:rsidP="000859A9">
            <w:pPr>
              <w:rPr>
                <w:rFonts w:ascii="Calibri" w:hAnsi="Calibri"/>
                <w:b/>
                <w:sz w:val="22"/>
                <w:szCs w:val="22"/>
              </w:rPr>
            </w:pPr>
            <w:r w:rsidRPr="00BF307C">
              <w:rPr>
                <w:rFonts w:ascii="Calibri" w:hAnsi="Calibri"/>
                <w:b/>
                <w:sz w:val="22"/>
                <w:szCs w:val="22"/>
              </w:rPr>
              <w:t>Discover Science: The Monash Science Experience</w:t>
            </w:r>
          </w:p>
        </w:tc>
        <w:tc>
          <w:tcPr>
            <w:tcW w:w="3827" w:type="dxa"/>
          </w:tcPr>
          <w:p w14:paraId="783A388D" w14:textId="77777777" w:rsidR="006D0207" w:rsidRDefault="006D0207" w:rsidP="000859A9">
            <w:pPr>
              <w:rPr>
                <w:rFonts w:ascii="Calibri" w:hAnsi="Calibri"/>
                <w:bCs/>
                <w:sz w:val="22"/>
                <w:szCs w:val="22"/>
              </w:rPr>
            </w:pPr>
            <w:r>
              <w:rPr>
                <w:rFonts w:ascii="Calibri" w:hAnsi="Calibri"/>
                <w:bCs/>
                <w:sz w:val="22"/>
                <w:szCs w:val="22"/>
              </w:rPr>
              <w:t>Wednesday 8 May, 6.00pm – 8.00pm</w:t>
            </w:r>
          </w:p>
        </w:tc>
      </w:tr>
      <w:tr w:rsidR="006D0207" w:rsidRPr="007561D3" w14:paraId="499B0600" w14:textId="77777777" w:rsidTr="000859A9">
        <w:trPr>
          <w:jc w:val="center"/>
        </w:trPr>
        <w:tc>
          <w:tcPr>
            <w:tcW w:w="6658" w:type="dxa"/>
            <w:shd w:val="clear" w:color="auto" w:fill="D3E5F6" w:themeFill="accent3" w:themeFillTint="33"/>
          </w:tcPr>
          <w:p w14:paraId="301B207C" w14:textId="77777777" w:rsidR="006D0207" w:rsidRPr="00F3691E" w:rsidRDefault="006D0207" w:rsidP="000859A9">
            <w:pPr>
              <w:rPr>
                <w:rFonts w:ascii="Calibri" w:hAnsi="Calibri"/>
                <w:b/>
                <w:sz w:val="22"/>
                <w:szCs w:val="22"/>
              </w:rPr>
            </w:pPr>
            <w:r w:rsidRPr="00F3691E">
              <w:rPr>
                <w:rFonts w:ascii="Calibri" w:hAnsi="Calibri"/>
                <w:b/>
                <w:sz w:val="22"/>
                <w:szCs w:val="22"/>
              </w:rPr>
              <w:t>Discover Biomedical Science and Nutrition Science **</w:t>
            </w:r>
          </w:p>
        </w:tc>
        <w:tc>
          <w:tcPr>
            <w:tcW w:w="3827" w:type="dxa"/>
          </w:tcPr>
          <w:p w14:paraId="1BB9FFE7" w14:textId="77777777" w:rsidR="006D0207" w:rsidRPr="00F3691E" w:rsidRDefault="006D0207" w:rsidP="000859A9">
            <w:pPr>
              <w:rPr>
                <w:rFonts w:ascii="Calibri" w:hAnsi="Calibri"/>
                <w:bCs/>
                <w:sz w:val="22"/>
                <w:szCs w:val="22"/>
              </w:rPr>
            </w:pPr>
            <w:r>
              <w:rPr>
                <w:rFonts w:ascii="Calibri" w:hAnsi="Calibri"/>
                <w:bCs/>
                <w:sz w:val="22"/>
                <w:szCs w:val="22"/>
              </w:rPr>
              <w:t xml:space="preserve">Thursday 9 </w:t>
            </w:r>
            <w:r w:rsidRPr="00F3691E">
              <w:rPr>
                <w:rFonts w:ascii="Calibri" w:hAnsi="Calibri"/>
                <w:bCs/>
                <w:sz w:val="22"/>
                <w:szCs w:val="22"/>
              </w:rPr>
              <w:t>May, 5.</w:t>
            </w:r>
            <w:r>
              <w:rPr>
                <w:rFonts w:ascii="Calibri" w:hAnsi="Calibri"/>
                <w:bCs/>
                <w:sz w:val="22"/>
                <w:szCs w:val="22"/>
              </w:rPr>
              <w:t>3</w:t>
            </w:r>
            <w:r w:rsidRPr="00F3691E">
              <w:rPr>
                <w:rFonts w:ascii="Calibri" w:hAnsi="Calibri"/>
                <w:bCs/>
                <w:sz w:val="22"/>
                <w:szCs w:val="22"/>
              </w:rPr>
              <w:t>0pm</w:t>
            </w:r>
            <w:r>
              <w:rPr>
                <w:rFonts w:ascii="Calibri" w:hAnsi="Calibri"/>
                <w:bCs/>
                <w:sz w:val="22"/>
                <w:szCs w:val="22"/>
              </w:rPr>
              <w:t xml:space="preserve"> – 6.45pm</w:t>
            </w:r>
          </w:p>
        </w:tc>
      </w:tr>
      <w:tr w:rsidR="006D0207" w:rsidRPr="007561D3" w14:paraId="076F893A" w14:textId="77777777" w:rsidTr="000859A9">
        <w:trPr>
          <w:jc w:val="center"/>
        </w:trPr>
        <w:tc>
          <w:tcPr>
            <w:tcW w:w="6658" w:type="dxa"/>
            <w:shd w:val="clear" w:color="auto" w:fill="D3E5F6" w:themeFill="accent3" w:themeFillTint="33"/>
          </w:tcPr>
          <w:p w14:paraId="5B4219F8" w14:textId="77777777" w:rsidR="006D0207" w:rsidRPr="00CD4CF4" w:rsidRDefault="006D0207" w:rsidP="000859A9">
            <w:pPr>
              <w:rPr>
                <w:rFonts w:ascii="Calibri" w:hAnsi="Calibri"/>
                <w:b/>
                <w:sz w:val="22"/>
                <w:szCs w:val="22"/>
              </w:rPr>
            </w:pPr>
            <w:r w:rsidRPr="00CD4CF4">
              <w:rPr>
                <w:rFonts w:ascii="Calibri" w:hAnsi="Calibri"/>
                <w:b/>
                <w:sz w:val="22"/>
                <w:szCs w:val="22"/>
              </w:rPr>
              <w:t>Discover Occupational Therapy, Physiotherapy, Paramedicine</w:t>
            </w:r>
            <w:r>
              <w:rPr>
                <w:rFonts w:ascii="Calibri" w:hAnsi="Calibri"/>
                <w:b/>
                <w:sz w:val="22"/>
                <w:szCs w:val="22"/>
              </w:rPr>
              <w:t xml:space="preserve"> </w:t>
            </w:r>
            <w:r w:rsidRPr="00CD4CF4">
              <w:rPr>
                <w:rFonts w:ascii="Calibri" w:hAnsi="Calibri"/>
                <w:b/>
                <w:sz w:val="22"/>
                <w:szCs w:val="22"/>
              </w:rPr>
              <w:t>**</w:t>
            </w:r>
          </w:p>
        </w:tc>
        <w:tc>
          <w:tcPr>
            <w:tcW w:w="3827" w:type="dxa"/>
          </w:tcPr>
          <w:p w14:paraId="11EB357C" w14:textId="77777777" w:rsidR="006D0207" w:rsidRPr="00CD4CF4" w:rsidRDefault="006D0207" w:rsidP="000859A9">
            <w:pPr>
              <w:rPr>
                <w:rFonts w:ascii="Calibri" w:hAnsi="Calibri"/>
                <w:bCs/>
                <w:sz w:val="22"/>
                <w:szCs w:val="22"/>
              </w:rPr>
            </w:pPr>
            <w:r w:rsidRPr="00CD4CF4">
              <w:rPr>
                <w:rFonts w:ascii="Calibri" w:hAnsi="Calibri"/>
                <w:bCs/>
                <w:sz w:val="22"/>
                <w:szCs w:val="22"/>
              </w:rPr>
              <w:t>T</w:t>
            </w:r>
            <w:r>
              <w:rPr>
                <w:rFonts w:ascii="Calibri" w:hAnsi="Calibri"/>
                <w:bCs/>
                <w:sz w:val="22"/>
                <w:szCs w:val="22"/>
              </w:rPr>
              <w:t>uesday 21</w:t>
            </w:r>
            <w:r w:rsidRPr="00CD4CF4">
              <w:rPr>
                <w:rFonts w:ascii="Calibri" w:hAnsi="Calibri"/>
                <w:bCs/>
                <w:sz w:val="22"/>
                <w:szCs w:val="22"/>
              </w:rPr>
              <w:t xml:space="preserve"> May, 5.</w:t>
            </w:r>
            <w:r>
              <w:rPr>
                <w:rFonts w:ascii="Calibri" w:hAnsi="Calibri"/>
                <w:bCs/>
                <w:sz w:val="22"/>
                <w:szCs w:val="22"/>
              </w:rPr>
              <w:t>3</w:t>
            </w:r>
            <w:r w:rsidRPr="00CD4CF4">
              <w:rPr>
                <w:rFonts w:ascii="Calibri" w:hAnsi="Calibri"/>
                <w:bCs/>
                <w:sz w:val="22"/>
                <w:szCs w:val="22"/>
              </w:rPr>
              <w:t>0pm</w:t>
            </w:r>
            <w:r>
              <w:rPr>
                <w:rFonts w:ascii="Calibri" w:hAnsi="Calibri"/>
                <w:bCs/>
                <w:sz w:val="22"/>
                <w:szCs w:val="22"/>
              </w:rPr>
              <w:t xml:space="preserve"> – 6.45pm</w:t>
            </w:r>
          </w:p>
        </w:tc>
      </w:tr>
      <w:tr w:rsidR="006D0207" w:rsidRPr="007561D3" w14:paraId="330C5A68" w14:textId="77777777" w:rsidTr="000859A9">
        <w:trPr>
          <w:jc w:val="center"/>
        </w:trPr>
        <w:tc>
          <w:tcPr>
            <w:tcW w:w="6658" w:type="dxa"/>
            <w:shd w:val="clear" w:color="auto" w:fill="D3E5F6" w:themeFill="accent3" w:themeFillTint="33"/>
          </w:tcPr>
          <w:p w14:paraId="5CF02BDE" w14:textId="77777777" w:rsidR="006D0207" w:rsidRPr="00352A34" w:rsidRDefault="006D0207" w:rsidP="000859A9">
            <w:pPr>
              <w:rPr>
                <w:rFonts w:ascii="Calibri" w:hAnsi="Calibri"/>
                <w:b/>
                <w:sz w:val="22"/>
                <w:szCs w:val="22"/>
              </w:rPr>
            </w:pPr>
            <w:r w:rsidRPr="00352A34">
              <w:rPr>
                <w:rFonts w:ascii="Calibri" w:hAnsi="Calibri"/>
                <w:b/>
                <w:sz w:val="22"/>
                <w:szCs w:val="22"/>
              </w:rPr>
              <w:t>Discover Health Sciences, Public Health, and Psychology **</w:t>
            </w:r>
          </w:p>
        </w:tc>
        <w:tc>
          <w:tcPr>
            <w:tcW w:w="3827" w:type="dxa"/>
          </w:tcPr>
          <w:p w14:paraId="04CFCD87" w14:textId="77777777" w:rsidR="006D0207" w:rsidRPr="00352A34" w:rsidRDefault="006D0207" w:rsidP="000859A9">
            <w:pPr>
              <w:rPr>
                <w:rFonts w:ascii="Calibri" w:hAnsi="Calibri"/>
                <w:bCs/>
                <w:sz w:val="22"/>
                <w:szCs w:val="22"/>
              </w:rPr>
            </w:pPr>
            <w:r w:rsidRPr="00352A34">
              <w:rPr>
                <w:rFonts w:ascii="Calibri" w:hAnsi="Calibri"/>
                <w:bCs/>
                <w:sz w:val="22"/>
                <w:szCs w:val="22"/>
              </w:rPr>
              <w:t>Thursday 23 May, 5.00pm – 6.15pm</w:t>
            </w:r>
          </w:p>
        </w:tc>
      </w:tr>
      <w:tr w:rsidR="006D0207" w:rsidRPr="007561D3" w14:paraId="53BF55DD" w14:textId="77777777" w:rsidTr="000859A9">
        <w:trPr>
          <w:jc w:val="center"/>
        </w:trPr>
        <w:tc>
          <w:tcPr>
            <w:tcW w:w="6658" w:type="dxa"/>
            <w:shd w:val="clear" w:color="auto" w:fill="D3E5F6" w:themeFill="accent3" w:themeFillTint="33"/>
          </w:tcPr>
          <w:p w14:paraId="7BF5219E" w14:textId="77777777" w:rsidR="006D0207" w:rsidRPr="001E1F92" w:rsidRDefault="006D0207" w:rsidP="000859A9">
            <w:pPr>
              <w:rPr>
                <w:rFonts w:ascii="Calibri" w:hAnsi="Calibri"/>
                <w:b/>
                <w:sz w:val="22"/>
                <w:szCs w:val="22"/>
              </w:rPr>
            </w:pPr>
            <w:r w:rsidRPr="001E1F92">
              <w:rPr>
                <w:rFonts w:ascii="Calibri" w:hAnsi="Calibri"/>
                <w:b/>
                <w:sz w:val="22"/>
                <w:szCs w:val="22"/>
              </w:rPr>
              <w:t>Discover Radiation Sciences, and Medical Imaging and Radiography **</w:t>
            </w:r>
          </w:p>
        </w:tc>
        <w:tc>
          <w:tcPr>
            <w:tcW w:w="3827" w:type="dxa"/>
          </w:tcPr>
          <w:p w14:paraId="0617A270" w14:textId="77777777" w:rsidR="006D0207" w:rsidRPr="001E1F92" w:rsidRDefault="006D0207" w:rsidP="000859A9">
            <w:pPr>
              <w:rPr>
                <w:rFonts w:ascii="Calibri" w:hAnsi="Calibri"/>
                <w:bCs/>
                <w:sz w:val="22"/>
                <w:szCs w:val="22"/>
              </w:rPr>
            </w:pPr>
            <w:r w:rsidRPr="001E1F92">
              <w:rPr>
                <w:rFonts w:ascii="Calibri" w:hAnsi="Calibri"/>
                <w:bCs/>
                <w:sz w:val="22"/>
                <w:szCs w:val="22"/>
              </w:rPr>
              <w:t>Tuesday 28 May, 5.30pm – 6.30pm</w:t>
            </w:r>
          </w:p>
        </w:tc>
      </w:tr>
      <w:tr w:rsidR="006D0207" w:rsidRPr="007561D3" w14:paraId="63A779AF" w14:textId="77777777" w:rsidTr="000859A9">
        <w:trPr>
          <w:jc w:val="center"/>
        </w:trPr>
        <w:tc>
          <w:tcPr>
            <w:tcW w:w="6658" w:type="dxa"/>
            <w:shd w:val="clear" w:color="auto" w:fill="D3E5F6" w:themeFill="accent3" w:themeFillTint="33"/>
          </w:tcPr>
          <w:p w14:paraId="6E4DDB72" w14:textId="77777777" w:rsidR="006D0207" w:rsidRPr="00B44FE8" w:rsidRDefault="006D0207" w:rsidP="000859A9">
            <w:pPr>
              <w:rPr>
                <w:rFonts w:ascii="Calibri" w:hAnsi="Calibri"/>
                <w:b/>
                <w:sz w:val="22"/>
                <w:szCs w:val="22"/>
              </w:rPr>
            </w:pPr>
            <w:r w:rsidRPr="00B44FE8">
              <w:rPr>
                <w:rFonts w:ascii="Calibri" w:hAnsi="Calibri"/>
                <w:b/>
                <w:sz w:val="22"/>
                <w:szCs w:val="22"/>
              </w:rPr>
              <w:t>Discover Engineering</w:t>
            </w:r>
          </w:p>
        </w:tc>
        <w:tc>
          <w:tcPr>
            <w:tcW w:w="3827" w:type="dxa"/>
          </w:tcPr>
          <w:p w14:paraId="3BE88E4A" w14:textId="77777777" w:rsidR="006D0207" w:rsidRPr="00B44FE8" w:rsidRDefault="006D0207" w:rsidP="000859A9">
            <w:pPr>
              <w:rPr>
                <w:rFonts w:ascii="Calibri" w:hAnsi="Calibri"/>
                <w:bCs/>
                <w:sz w:val="22"/>
                <w:szCs w:val="22"/>
              </w:rPr>
            </w:pPr>
            <w:r w:rsidRPr="00B44FE8">
              <w:rPr>
                <w:rFonts w:ascii="Calibri" w:hAnsi="Calibri"/>
                <w:bCs/>
                <w:sz w:val="22"/>
                <w:szCs w:val="22"/>
              </w:rPr>
              <w:t>Tuesday 28 May, 6.00pm – 7.00pm</w:t>
            </w:r>
          </w:p>
        </w:tc>
      </w:tr>
    </w:tbl>
    <w:p w14:paraId="2AF40F62" w14:textId="77777777" w:rsidR="006D0207" w:rsidRDefault="006D0207" w:rsidP="006D0207">
      <w:pPr>
        <w:pStyle w:val="NoSpacing"/>
        <w:rPr>
          <w:rFonts w:cs="Calibri"/>
          <w:b/>
          <w:sz w:val="24"/>
          <w:szCs w:val="20"/>
          <w:highlight w:val="yellow"/>
          <w:u w:val="single"/>
        </w:rPr>
      </w:pPr>
    </w:p>
    <w:p w14:paraId="31A91A43" w14:textId="77777777" w:rsidR="00CA115E" w:rsidRDefault="00CA115E" w:rsidP="006D0207">
      <w:pPr>
        <w:pStyle w:val="NoSpacing"/>
        <w:rPr>
          <w:rFonts w:cs="Calibri"/>
          <w:b/>
          <w:sz w:val="24"/>
          <w:szCs w:val="20"/>
          <w:highlight w:val="yellow"/>
          <w:u w:val="single"/>
        </w:rPr>
      </w:pPr>
    </w:p>
    <w:p w14:paraId="6FFEF026" w14:textId="77777777" w:rsidR="006D0207" w:rsidRPr="00CA36C3" w:rsidRDefault="006D0207" w:rsidP="006D0207">
      <w:pPr>
        <w:pStyle w:val="NoSpacing"/>
        <w:numPr>
          <w:ilvl w:val="0"/>
          <w:numId w:val="12"/>
        </w:numPr>
        <w:rPr>
          <w:rFonts w:cs="Calibri"/>
          <w:b/>
          <w:sz w:val="26"/>
          <w:u w:val="single"/>
        </w:rPr>
      </w:pPr>
      <w:r w:rsidRPr="00CA36C3">
        <w:rPr>
          <w:rFonts w:cs="Calibri"/>
          <w:b/>
          <w:sz w:val="26"/>
          <w:u w:val="single"/>
        </w:rPr>
        <w:t>Year 10 Discovery Day</w:t>
      </w:r>
    </w:p>
    <w:p w14:paraId="224FE1EF" w14:textId="77777777" w:rsidR="006D0207" w:rsidRPr="00DD7DD6" w:rsidRDefault="006D0207" w:rsidP="006D0207">
      <w:pPr>
        <w:pStyle w:val="NoSpacing"/>
        <w:rPr>
          <w:rFonts w:cs="Calibri"/>
          <w:bCs/>
          <w:i/>
          <w:iCs/>
          <w:sz w:val="24"/>
          <w:szCs w:val="20"/>
          <w:highlight w:val="yellow"/>
        </w:rPr>
      </w:pPr>
      <w:r w:rsidRPr="00DD7DD6">
        <w:rPr>
          <w:rFonts w:cs="Calibri"/>
          <w:bCs/>
          <w:i/>
          <w:iCs/>
          <w:sz w:val="24"/>
          <w:szCs w:val="20"/>
        </w:rPr>
        <w:t>Have you been thinking about your future – what you should study, how to get the best study outcomes, and what’s it like to be a Monash student?</w:t>
      </w:r>
      <w:r>
        <w:rPr>
          <w:rFonts w:cs="Calibri"/>
          <w:bCs/>
          <w:i/>
          <w:iCs/>
          <w:sz w:val="24"/>
          <w:szCs w:val="20"/>
        </w:rPr>
        <w:t xml:space="preserve">  Then the </w:t>
      </w:r>
      <w:r w:rsidRPr="00DD7DD6">
        <w:rPr>
          <w:rFonts w:cs="Calibri"/>
          <w:bCs/>
          <w:i/>
          <w:iCs/>
          <w:sz w:val="24"/>
          <w:szCs w:val="20"/>
        </w:rPr>
        <w:t>Year 10 Discovery Day is for you!</w:t>
      </w:r>
    </w:p>
    <w:p w14:paraId="7BA5D04B" w14:textId="77777777" w:rsidR="006D0207" w:rsidRDefault="006D0207" w:rsidP="006D0207">
      <w:pPr>
        <w:rPr>
          <w:rFonts w:ascii="Calibri" w:hAnsi="Calibri" w:cs="Calibri"/>
        </w:rPr>
      </w:pPr>
      <w:r>
        <w:rPr>
          <w:rFonts w:ascii="Calibri" w:hAnsi="Calibri" w:cs="Calibri"/>
        </w:rPr>
        <w:lastRenderedPageBreak/>
        <w:t>Year 10 s</w:t>
      </w:r>
      <w:r w:rsidRPr="00A6234C">
        <w:rPr>
          <w:rFonts w:ascii="Calibri" w:hAnsi="Calibri" w:cs="Calibri"/>
        </w:rPr>
        <w:t>tudents and parents can attend tailored sessions to learn about successful study techniques, family support, and what</w:t>
      </w:r>
      <w:r>
        <w:rPr>
          <w:rFonts w:ascii="Calibri" w:hAnsi="Calibri" w:cs="Calibri"/>
        </w:rPr>
        <w:t xml:space="preserve"> is </w:t>
      </w:r>
      <w:r w:rsidRPr="00A6234C">
        <w:rPr>
          <w:rFonts w:ascii="Calibri" w:hAnsi="Calibri" w:cs="Calibri"/>
        </w:rPr>
        <w:t>required for a bright academic future.</w:t>
      </w:r>
      <w:r>
        <w:rPr>
          <w:rFonts w:ascii="Calibri" w:hAnsi="Calibri" w:cs="Calibri"/>
        </w:rPr>
        <w:t xml:space="preserve">  There will be various workshops sessions to participate in, and after morning tea, parents have the option to </w:t>
      </w:r>
      <w:r w:rsidRPr="003E2868">
        <w:rPr>
          <w:rFonts w:ascii="Calibri" w:hAnsi="Calibri" w:cs="Calibri"/>
        </w:rPr>
        <w:t>explore campus, visit onsite cafes</w:t>
      </w:r>
      <w:r>
        <w:rPr>
          <w:rFonts w:ascii="Calibri" w:hAnsi="Calibri" w:cs="Calibri"/>
        </w:rPr>
        <w:t>, etc.</w:t>
      </w:r>
    </w:p>
    <w:p w14:paraId="2334B95F" w14:textId="77777777" w:rsidR="006D0207" w:rsidRDefault="006D0207" w:rsidP="006D0207">
      <w:pPr>
        <w:rPr>
          <w:rFonts w:ascii="Calibri" w:hAnsi="Calibri" w:cs="Calibri"/>
        </w:rPr>
      </w:pPr>
    </w:p>
    <w:p w14:paraId="38B8292F" w14:textId="77777777" w:rsidR="006D0207" w:rsidRDefault="006D0207" w:rsidP="006D0207">
      <w:pPr>
        <w:rPr>
          <w:rFonts w:ascii="Calibri" w:hAnsi="Calibri" w:cs="Calibri"/>
        </w:rPr>
      </w:pPr>
      <w:r w:rsidRPr="003E2868">
        <w:rPr>
          <w:rFonts w:ascii="Calibri" w:hAnsi="Calibri" w:cs="Calibri"/>
          <w:b/>
          <w:bCs/>
          <w:u w:val="single"/>
        </w:rPr>
        <w:t>Date</w:t>
      </w:r>
      <w:r>
        <w:rPr>
          <w:rFonts w:ascii="Calibri" w:hAnsi="Calibri" w:cs="Calibri"/>
          <w:b/>
          <w:bCs/>
        </w:rPr>
        <w:t>:</w:t>
      </w:r>
      <w:r>
        <w:rPr>
          <w:rFonts w:ascii="Calibri" w:hAnsi="Calibri" w:cs="Calibri"/>
          <w:b/>
          <w:bCs/>
        </w:rPr>
        <w:tab/>
      </w:r>
      <w:r>
        <w:rPr>
          <w:rFonts w:ascii="Calibri" w:hAnsi="Calibri" w:cs="Calibri"/>
          <w:b/>
          <w:bCs/>
        </w:rPr>
        <w:tab/>
      </w:r>
      <w:r>
        <w:rPr>
          <w:rFonts w:ascii="Calibri" w:hAnsi="Calibri" w:cs="Calibri"/>
        </w:rPr>
        <w:t>Friday 5 April 2024</w:t>
      </w:r>
    </w:p>
    <w:p w14:paraId="0C10C858" w14:textId="77777777" w:rsidR="006D0207" w:rsidRPr="00EE3992" w:rsidRDefault="006D0207" w:rsidP="006D0207">
      <w:pPr>
        <w:rPr>
          <w:rFonts w:ascii="Calibri" w:hAnsi="Calibri" w:cs="Calibri"/>
        </w:rPr>
      </w:pPr>
      <w:r w:rsidRPr="00917979">
        <w:rPr>
          <w:rFonts w:ascii="Calibri" w:hAnsi="Calibri" w:cs="Calibri"/>
          <w:b/>
          <w:bCs/>
          <w:u w:val="single"/>
        </w:rPr>
        <w:t>Time</w:t>
      </w:r>
      <w:r>
        <w:rPr>
          <w:rFonts w:ascii="Calibri" w:hAnsi="Calibri" w:cs="Calibri"/>
          <w:b/>
          <w:bCs/>
        </w:rPr>
        <w:t>:</w:t>
      </w:r>
      <w:r>
        <w:rPr>
          <w:rFonts w:ascii="Calibri" w:hAnsi="Calibri" w:cs="Calibri"/>
          <w:b/>
          <w:bCs/>
        </w:rPr>
        <w:tab/>
      </w:r>
      <w:r>
        <w:rPr>
          <w:rFonts w:ascii="Calibri" w:hAnsi="Calibri" w:cs="Calibri"/>
          <w:b/>
          <w:bCs/>
        </w:rPr>
        <w:tab/>
      </w:r>
      <w:r>
        <w:rPr>
          <w:rFonts w:ascii="Calibri" w:hAnsi="Calibri" w:cs="Calibri"/>
        </w:rPr>
        <w:t>9.0</w:t>
      </w:r>
      <w:r w:rsidRPr="00917979">
        <w:rPr>
          <w:rFonts w:ascii="Calibri" w:hAnsi="Calibri" w:cs="Calibri"/>
        </w:rPr>
        <w:t>0am</w:t>
      </w:r>
      <w:r>
        <w:rPr>
          <w:rFonts w:ascii="Calibri" w:hAnsi="Calibri" w:cs="Calibri"/>
        </w:rPr>
        <w:t xml:space="preserve"> </w:t>
      </w:r>
      <w:r w:rsidRPr="00917979">
        <w:rPr>
          <w:rFonts w:ascii="Calibri" w:hAnsi="Calibri" w:cs="Calibri"/>
        </w:rPr>
        <w:t xml:space="preserve">– </w:t>
      </w:r>
      <w:r>
        <w:rPr>
          <w:rFonts w:ascii="Calibri" w:hAnsi="Calibri" w:cs="Calibri"/>
        </w:rPr>
        <w:t>2.00</w:t>
      </w:r>
      <w:r w:rsidRPr="00917979">
        <w:rPr>
          <w:rFonts w:ascii="Calibri" w:hAnsi="Calibri" w:cs="Calibri"/>
        </w:rPr>
        <w:t>pm</w:t>
      </w:r>
      <w:r>
        <w:rPr>
          <w:rFonts w:ascii="Calibri" w:hAnsi="Calibri" w:cs="Calibri"/>
        </w:rPr>
        <w:br/>
      </w:r>
      <w:r w:rsidRPr="00CF6C54">
        <w:rPr>
          <w:rFonts w:ascii="Calibri" w:hAnsi="Calibri" w:cs="Calibri"/>
          <w:b/>
          <w:bCs/>
          <w:u w:val="single"/>
        </w:rPr>
        <w:t>Location</w:t>
      </w:r>
      <w:r>
        <w:rPr>
          <w:rFonts w:ascii="Calibri" w:hAnsi="Calibri" w:cs="Calibri"/>
          <w:b/>
          <w:bCs/>
        </w:rPr>
        <w:t>:</w:t>
      </w:r>
      <w:r>
        <w:rPr>
          <w:rFonts w:ascii="Calibri" w:hAnsi="Calibri" w:cs="Calibri"/>
          <w:b/>
          <w:bCs/>
        </w:rPr>
        <w:tab/>
      </w:r>
      <w:r>
        <w:rPr>
          <w:rFonts w:ascii="Calibri" w:hAnsi="Calibri" w:cs="Calibri"/>
        </w:rPr>
        <w:t>Clayton Campus</w:t>
      </w:r>
    </w:p>
    <w:p w14:paraId="7AE28A64" w14:textId="77777777" w:rsidR="006D0207" w:rsidRDefault="006D0207" w:rsidP="006D0207">
      <w:pPr>
        <w:rPr>
          <w:rFonts w:ascii="Calibri" w:hAnsi="Calibri" w:cs="Calibri"/>
          <w:b/>
          <w:bCs/>
        </w:rPr>
      </w:pPr>
      <w:r>
        <w:rPr>
          <w:rFonts w:ascii="Calibri" w:hAnsi="Calibri" w:cs="Calibri"/>
          <w:b/>
          <w:bCs/>
        </w:rPr>
        <w:br/>
        <w:t xml:space="preserve">Registration is essential.  Visit </w:t>
      </w:r>
      <w:hyperlink r:id="rId12" w:history="1">
        <w:r w:rsidRPr="00CF6C54">
          <w:rPr>
            <w:rStyle w:val="Hyperlink"/>
            <w:rFonts w:ascii="Calibri" w:hAnsi="Calibri" w:cs="Calibri"/>
            <w:b/>
          </w:rPr>
          <w:t>Year 10 Discovery Day - Discover Monash</w:t>
        </w:r>
      </w:hyperlink>
      <w:r>
        <w:rPr>
          <w:rFonts w:ascii="Calibri" w:hAnsi="Calibri" w:cs="Calibri"/>
          <w:b/>
          <w:bCs/>
        </w:rPr>
        <w:t xml:space="preserve"> to sign up.</w:t>
      </w:r>
    </w:p>
    <w:p w14:paraId="4EDB68E9" w14:textId="77777777" w:rsidR="006D0207" w:rsidRDefault="006D0207" w:rsidP="006D0207">
      <w:pPr>
        <w:rPr>
          <w:rFonts w:ascii="Calibri" w:hAnsi="Calibri" w:cs="Calibri"/>
          <w:b/>
          <w:bCs/>
        </w:rPr>
      </w:pPr>
    </w:p>
    <w:p w14:paraId="5254A1FD" w14:textId="77777777" w:rsidR="006D0207" w:rsidRDefault="006D0207" w:rsidP="006D0207">
      <w:pPr>
        <w:pStyle w:val="ListParagraph"/>
        <w:numPr>
          <w:ilvl w:val="0"/>
          <w:numId w:val="12"/>
        </w:numPr>
        <w:contextualSpacing/>
        <w:rPr>
          <w:rFonts w:ascii="Calibri" w:hAnsi="Calibri" w:cs="Calibri"/>
          <w:b/>
          <w:bCs/>
          <w:sz w:val="26"/>
          <w:szCs w:val="26"/>
          <w:u w:val="single"/>
        </w:rPr>
      </w:pPr>
      <w:r>
        <w:rPr>
          <w:rFonts w:ascii="Calibri" w:hAnsi="Calibri" w:cs="Calibri"/>
          <w:b/>
          <w:bCs/>
          <w:sz w:val="26"/>
          <w:szCs w:val="26"/>
          <w:u w:val="single"/>
        </w:rPr>
        <w:t>School Holiday Tours</w:t>
      </w:r>
    </w:p>
    <w:p w14:paraId="13D73D9B" w14:textId="77777777" w:rsidR="006D0207" w:rsidRPr="004B762C" w:rsidRDefault="006D0207" w:rsidP="006D0207">
      <w:pPr>
        <w:rPr>
          <w:rFonts w:ascii="Calibri" w:hAnsi="Calibri" w:cs="Calibri"/>
          <w:b/>
          <w:bCs/>
        </w:rPr>
      </w:pPr>
      <w:r>
        <w:rPr>
          <w:rFonts w:ascii="Calibri" w:hAnsi="Calibri" w:cs="Calibri"/>
        </w:rPr>
        <w:t xml:space="preserve">Over the April holidays, Monash will be hosting </w:t>
      </w:r>
      <w:r>
        <w:rPr>
          <w:rFonts w:ascii="Calibri" w:hAnsi="Calibri" w:cs="Calibri"/>
          <w:i/>
          <w:iCs/>
        </w:rPr>
        <w:t xml:space="preserve">Campus Experience Events </w:t>
      </w:r>
      <w:r>
        <w:rPr>
          <w:rFonts w:ascii="Calibri" w:hAnsi="Calibri" w:cs="Calibri"/>
        </w:rPr>
        <w:t>whereby students can g</w:t>
      </w:r>
      <w:r w:rsidRPr="00D4165A">
        <w:rPr>
          <w:rFonts w:ascii="Calibri" w:hAnsi="Calibri" w:cs="Calibri"/>
        </w:rPr>
        <w:t>et a feel for what it</w:t>
      </w:r>
      <w:r>
        <w:rPr>
          <w:rFonts w:ascii="Calibri" w:hAnsi="Calibri" w:cs="Calibri"/>
        </w:rPr>
        <w:t xml:space="preserve"> is</w:t>
      </w:r>
      <w:r w:rsidRPr="00D4165A">
        <w:rPr>
          <w:rFonts w:ascii="Calibri" w:hAnsi="Calibri" w:cs="Calibri"/>
        </w:rPr>
        <w:t xml:space="preserve"> like to study on campus.</w:t>
      </w:r>
      <w:r>
        <w:rPr>
          <w:rFonts w:ascii="Calibri" w:hAnsi="Calibri" w:cs="Calibri"/>
        </w:rPr>
        <w:t xml:space="preserve">  </w:t>
      </w:r>
      <w:r>
        <w:rPr>
          <w:rFonts w:ascii="Calibri" w:hAnsi="Calibri" w:cs="Calibri"/>
          <w:b/>
          <w:bCs/>
        </w:rPr>
        <w:t>Registrations are essential, simply click on the links provided.</w:t>
      </w:r>
    </w:p>
    <w:p w14:paraId="43631CDB" w14:textId="77777777" w:rsidR="006D0207" w:rsidRDefault="006D0207" w:rsidP="006D0207">
      <w:pPr>
        <w:rPr>
          <w:rFonts w:ascii="Calibri" w:hAnsi="Calibri" w:cs="Calibri"/>
        </w:rPr>
      </w:pPr>
    </w:p>
    <w:tbl>
      <w:tblPr>
        <w:tblStyle w:val="TableGrid"/>
        <w:tblW w:w="8930" w:type="dxa"/>
        <w:jc w:val="center"/>
        <w:tblLook w:val="04A0" w:firstRow="1" w:lastRow="0" w:firstColumn="1" w:lastColumn="0" w:noHBand="0" w:noVBand="1"/>
      </w:tblPr>
      <w:tblGrid>
        <w:gridCol w:w="5949"/>
        <w:gridCol w:w="2981"/>
      </w:tblGrid>
      <w:tr w:rsidR="006D0207" w:rsidRPr="006D0207" w14:paraId="4FBA15F3" w14:textId="77777777" w:rsidTr="000859A9">
        <w:trPr>
          <w:jc w:val="center"/>
        </w:trPr>
        <w:tc>
          <w:tcPr>
            <w:tcW w:w="5949" w:type="dxa"/>
            <w:shd w:val="clear" w:color="auto" w:fill="D3E5F6" w:themeFill="accent3" w:themeFillTint="33"/>
          </w:tcPr>
          <w:p w14:paraId="4C56C437" w14:textId="77777777" w:rsidR="006D0207" w:rsidRPr="006D0207" w:rsidRDefault="00CA115E" w:rsidP="000859A9">
            <w:pPr>
              <w:rPr>
                <w:rFonts w:ascii="Calibri" w:hAnsi="Calibri"/>
                <w:b/>
                <w:sz w:val="22"/>
                <w:szCs w:val="22"/>
              </w:rPr>
            </w:pPr>
            <w:hyperlink r:id="rId13" w:history="1">
              <w:r w:rsidR="006D0207" w:rsidRPr="006D0207">
                <w:rPr>
                  <w:rStyle w:val="Hyperlink"/>
                  <w:rFonts w:ascii="Calibri" w:hAnsi="Calibri"/>
                  <w:b/>
                  <w:sz w:val="22"/>
                  <w:szCs w:val="22"/>
                </w:rPr>
                <w:t>Clayton Campus Tour - Thursday 11 April - Discover Monash</w:t>
              </w:r>
            </w:hyperlink>
          </w:p>
        </w:tc>
        <w:tc>
          <w:tcPr>
            <w:tcW w:w="2981" w:type="dxa"/>
          </w:tcPr>
          <w:p w14:paraId="3566CA73" w14:textId="77777777" w:rsidR="006D0207" w:rsidRDefault="006D0207" w:rsidP="000859A9">
            <w:pPr>
              <w:rPr>
                <w:rFonts w:ascii="Calibri" w:hAnsi="Calibri"/>
                <w:bCs/>
                <w:sz w:val="22"/>
                <w:szCs w:val="22"/>
              </w:rPr>
            </w:pPr>
            <w:r w:rsidRPr="006D0207">
              <w:rPr>
                <w:rFonts w:ascii="Calibri" w:hAnsi="Calibri"/>
                <w:bCs/>
                <w:sz w:val="22"/>
                <w:szCs w:val="22"/>
              </w:rPr>
              <w:t>10.00am – 11.30am</w:t>
            </w:r>
          </w:p>
          <w:p w14:paraId="37B256D6" w14:textId="77777777" w:rsidR="00B71B5E" w:rsidRPr="006D0207" w:rsidRDefault="00B71B5E" w:rsidP="000859A9">
            <w:pPr>
              <w:rPr>
                <w:rFonts w:ascii="Calibri" w:hAnsi="Calibri"/>
                <w:bCs/>
                <w:sz w:val="22"/>
                <w:szCs w:val="22"/>
              </w:rPr>
            </w:pPr>
          </w:p>
        </w:tc>
      </w:tr>
      <w:tr w:rsidR="006D0207" w:rsidRPr="006D0207" w14:paraId="37015E63" w14:textId="77777777" w:rsidTr="000859A9">
        <w:trPr>
          <w:jc w:val="center"/>
        </w:trPr>
        <w:tc>
          <w:tcPr>
            <w:tcW w:w="5949" w:type="dxa"/>
            <w:shd w:val="clear" w:color="auto" w:fill="D3E5F6" w:themeFill="accent3" w:themeFillTint="33"/>
          </w:tcPr>
          <w:p w14:paraId="30E8ECAF" w14:textId="77777777" w:rsidR="006D0207" w:rsidRPr="006D0207" w:rsidRDefault="00CA115E" w:rsidP="000859A9">
            <w:pPr>
              <w:rPr>
                <w:rFonts w:ascii="Calibri" w:hAnsi="Calibri"/>
                <w:b/>
                <w:sz w:val="22"/>
                <w:szCs w:val="22"/>
              </w:rPr>
            </w:pPr>
            <w:hyperlink r:id="rId14" w:history="1">
              <w:r w:rsidR="006D0207" w:rsidRPr="006D0207">
                <w:rPr>
                  <w:rStyle w:val="Hyperlink"/>
                  <w:rFonts w:ascii="Calibri" w:hAnsi="Calibri"/>
                  <w:b/>
                  <w:sz w:val="22"/>
                  <w:szCs w:val="22"/>
                </w:rPr>
                <w:t>Peninsula Campus Tour - Thursday 11 April - Discover Monash</w:t>
              </w:r>
            </w:hyperlink>
          </w:p>
        </w:tc>
        <w:tc>
          <w:tcPr>
            <w:tcW w:w="2981" w:type="dxa"/>
          </w:tcPr>
          <w:p w14:paraId="71886B45" w14:textId="77777777" w:rsidR="006D0207" w:rsidRDefault="006D0207" w:rsidP="000859A9">
            <w:pPr>
              <w:rPr>
                <w:rFonts w:ascii="Calibri" w:hAnsi="Calibri"/>
                <w:bCs/>
                <w:sz w:val="22"/>
                <w:szCs w:val="22"/>
              </w:rPr>
            </w:pPr>
            <w:r w:rsidRPr="006D0207">
              <w:rPr>
                <w:rFonts w:ascii="Calibri" w:hAnsi="Calibri"/>
                <w:bCs/>
                <w:sz w:val="22"/>
                <w:szCs w:val="22"/>
              </w:rPr>
              <w:t>2.00pm – 3.15pm</w:t>
            </w:r>
          </w:p>
          <w:p w14:paraId="72CCD481" w14:textId="77777777" w:rsidR="00B71B5E" w:rsidRPr="006D0207" w:rsidRDefault="00B71B5E" w:rsidP="000859A9">
            <w:pPr>
              <w:rPr>
                <w:rFonts w:ascii="Calibri" w:hAnsi="Calibri"/>
                <w:bCs/>
                <w:sz w:val="22"/>
                <w:szCs w:val="22"/>
              </w:rPr>
            </w:pPr>
          </w:p>
        </w:tc>
      </w:tr>
      <w:tr w:rsidR="006D0207" w:rsidRPr="006D0207" w14:paraId="7283531B" w14:textId="77777777" w:rsidTr="000859A9">
        <w:trPr>
          <w:jc w:val="center"/>
        </w:trPr>
        <w:tc>
          <w:tcPr>
            <w:tcW w:w="5949" w:type="dxa"/>
            <w:shd w:val="clear" w:color="auto" w:fill="D3E5F6" w:themeFill="accent3" w:themeFillTint="33"/>
          </w:tcPr>
          <w:p w14:paraId="4A8EC9D1" w14:textId="77777777" w:rsidR="006D0207" w:rsidRPr="006D0207" w:rsidRDefault="00CA115E" w:rsidP="000859A9">
            <w:pPr>
              <w:rPr>
                <w:rFonts w:ascii="Calibri" w:hAnsi="Calibri"/>
                <w:b/>
                <w:sz w:val="22"/>
                <w:szCs w:val="22"/>
              </w:rPr>
            </w:pPr>
            <w:hyperlink r:id="rId15" w:history="1">
              <w:r w:rsidR="006D0207" w:rsidRPr="006D0207">
                <w:rPr>
                  <w:rStyle w:val="Hyperlink"/>
                  <w:rFonts w:ascii="Calibri" w:hAnsi="Calibri"/>
                  <w:b/>
                  <w:sz w:val="22"/>
                  <w:szCs w:val="22"/>
                </w:rPr>
                <w:t>Caulfield Campus Tour - Friday 12 April - Discover Monash</w:t>
              </w:r>
            </w:hyperlink>
          </w:p>
        </w:tc>
        <w:tc>
          <w:tcPr>
            <w:tcW w:w="2981" w:type="dxa"/>
          </w:tcPr>
          <w:p w14:paraId="156C56B9" w14:textId="77777777" w:rsidR="006D0207" w:rsidRDefault="006D0207" w:rsidP="000859A9">
            <w:pPr>
              <w:rPr>
                <w:rFonts w:ascii="Calibri" w:hAnsi="Calibri"/>
                <w:bCs/>
                <w:sz w:val="22"/>
                <w:szCs w:val="22"/>
              </w:rPr>
            </w:pPr>
            <w:r w:rsidRPr="006D0207">
              <w:rPr>
                <w:rFonts w:ascii="Calibri" w:hAnsi="Calibri"/>
                <w:bCs/>
                <w:sz w:val="22"/>
                <w:szCs w:val="22"/>
              </w:rPr>
              <w:t>10.00am – 11.15am</w:t>
            </w:r>
          </w:p>
          <w:p w14:paraId="62E12633" w14:textId="77777777" w:rsidR="00B71B5E" w:rsidRPr="006D0207" w:rsidRDefault="00B71B5E" w:rsidP="000859A9">
            <w:pPr>
              <w:rPr>
                <w:rFonts w:ascii="Calibri" w:hAnsi="Calibri"/>
                <w:bCs/>
                <w:sz w:val="22"/>
                <w:szCs w:val="22"/>
              </w:rPr>
            </w:pPr>
          </w:p>
        </w:tc>
      </w:tr>
      <w:tr w:rsidR="006D0207" w:rsidRPr="006D0207" w14:paraId="28B55BB0" w14:textId="77777777" w:rsidTr="000859A9">
        <w:trPr>
          <w:jc w:val="center"/>
        </w:trPr>
        <w:tc>
          <w:tcPr>
            <w:tcW w:w="5949" w:type="dxa"/>
            <w:shd w:val="clear" w:color="auto" w:fill="D3E5F6" w:themeFill="accent3" w:themeFillTint="33"/>
          </w:tcPr>
          <w:p w14:paraId="3318382F" w14:textId="77777777" w:rsidR="006D0207" w:rsidRPr="006D0207" w:rsidRDefault="00CA115E" w:rsidP="000859A9">
            <w:pPr>
              <w:rPr>
                <w:rFonts w:ascii="Calibri" w:hAnsi="Calibri"/>
                <w:b/>
                <w:sz w:val="22"/>
                <w:szCs w:val="22"/>
              </w:rPr>
            </w:pPr>
            <w:hyperlink r:id="rId16" w:history="1">
              <w:r w:rsidR="006D0207" w:rsidRPr="006D0207">
                <w:rPr>
                  <w:rStyle w:val="Hyperlink"/>
                  <w:rFonts w:ascii="Calibri" w:hAnsi="Calibri"/>
                  <w:b/>
                  <w:sz w:val="22"/>
                  <w:szCs w:val="22"/>
                </w:rPr>
                <w:t>Clayton Campus Tour - Friday 12 April - Discover Monash</w:t>
              </w:r>
            </w:hyperlink>
          </w:p>
        </w:tc>
        <w:tc>
          <w:tcPr>
            <w:tcW w:w="2981" w:type="dxa"/>
          </w:tcPr>
          <w:p w14:paraId="6F82F7B8" w14:textId="77777777" w:rsidR="006D0207" w:rsidRDefault="006D0207" w:rsidP="000859A9">
            <w:pPr>
              <w:rPr>
                <w:rFonts w:ascii="Calibri" w:hAnsi="Calibri"/>
                <w:bCs/>
                <w:sz w:val="22"/>
                <w:szCs w:val="22"/>
              </w:rPr>
            </w:pPr>
            <w:r w:rsidRPr="006D0207">
              <w:rPr>
                <w:rFonts w:ascii="Calibri" w:hAnsi="Calibri"/>
                <w:bCs/>
                <w:sz w:val="22"/>
                <w:szCs w:val="22"/>
              </w:rPr>
              <w:t>2.00pm – 3.30pm</w:t>
            </w:r>
          </w:p>
          <w:p w14:paraId="433022D7" w14:textId="77777777" w:rsidR="00B71B5E" w:rsidRPr="006D0207" w:rsidRDefault="00B71B5E" w:rsidP="000859A9">
            <w:pPr>
              <w:rPr>
                <w:rFonts w:ascii="Calibri" w:hAnsi="Calibri"/>
                <w:bCs/>
                <w:sz w:val="22"/>
                <w:szCs w:val="22"/>
              </w:rPr>
            </w:pPr>
          </w:p>
        </w:tc>
      </w:tr>
    </w:tbl>
    <w:p w14:paraId="508B30A6" w14:textId="77777777" w:rsidR="006D0207" w:rsidRDefault="006D0207" w:rsidP="006D0207">
      <w:pPr>
        <w:rPr>
          <w:rFonts w:ascii="Calibri" w:hAnsi="Calibri" w:cs="Calibri"/>
        </w:rPr>
      </w:pPr>
    </w:p>
    <w:p w14:paraId="06D6359D" w14:textId="77777777" w:rsidR="006D0207" w:rsidRDefault="006D0207" w:rsidP="006D0207">
      <w:pPr>
        <w:pStyle w:val="ListParagraph"/>
        <w:numPr>
          <w:ilvl w:val="0"/>
          <w:numId w:val="12"/>
        </w:numPr>
        <w:contextualSpacing/>
        <w:rPr>
          <w:rFonts w:ascii="Calibri" w:hAnsi="Calibri" w:cs="Calibri"/>
          <w:b/>
          <w:bCs/>
          <w:sz w:val="26"/>
          <w:szCs w:val="26"/>
          <w:u w:val="single"/>
        </w:rPr>
      </w:pPr>
      <w:r>
        <w:rPr>
          <w:rFonts w:ascii="Calibri" w:hAnsi="Calibri" w:cs="Calibri"/>
          <w:b/>
          <w:bCs/>
          <w:i/>
          <w:iCs/>
          <w:sz w:val="26"/>
          <w:szCs w:val="26"/>
          <w:u w:val="single"/>
        </w:rPr>
        <w:t xml:space="preserve">New </w:t>
      </w:r>
      <w:r>
        <w:rPr>
          <w:rFonts w:ascii="Calibri" w:hAnsi="Calibri" w:cs="Calibri"/>
          <w:b/>
          <w:bCs/>
          <w:sz w:val="26"/>
          <w:szCs w:val="26"/>
          <w:u w:val="single"/>
        </w:rPr>
        <w:t>Sustainability Major</w:t>
      </w:r>
    </w:p>
    <w:p w14:paraId="62D36B53" w14:textId="77777777" w:rsidR="006D0207" w:rsidRDefault="006D0207" w:rsidP="006D0207">
      <w:pPr>
        <w:rPr>
          <w:rFonts w:ascii="Calibri" w:hAnsi="Calibri" w:cs="Calibri"/>
          <w:b/>
          <w:bCs/>
        </w:rPr>
      </w:pPr>
      <w:r>
        <w:rPr>
          <w:rFonts w:ascii="Calibri" w:hAnsi="Calibri" w:cs="Calibri"/>
        </w:rPr>
        <w:t xml:space="preserve">The Monash Business School is offering a </w:t>
      </w:r>
      <w:r>
        <w:rPr>
          <w:rFonts w:ascii="Calibri" w:hAnsi="Calibri" w:cs="Calibri"/>
          <w:i/>
          <w:iCs/>
        </w:rPr>
        <w:t>new</w:t>
      </w:r>
      <w:r>
        <w:rPr>
          <w:rFonts w:ascii="Calibri" w:hAnsi="Calibri" w:cs="Calibri"/>
        </w:rPr>
        <w:t xml:space="preserve"> Sustainability major in either of the Bachelor of Business or the Bachelor of Commerce degrees.  This major will appeal to s</w:t>
      </w:r>
      <w:r w:rsidRPr="000C445A">
        <w:rPr>
          <w:rFonts w:ascii="Calibri" w:hAnsi="Calibri" w:cs="Calibri"/>
        </w:rPr>
        <w:t>tudents interested in a career in sustainability and responsible management</w:t>
      </w:r>
      <w:r>
        <w:rPr>
          <w:rFonts w:ascii="Calibri" w:hAnsi="Calibri" w:cs="Calibri"/>
        </w:rPr>
        <w:t xml:space="preserve">.  Over and above this major, the School also offers some interesting units that </w:t>
      </w:r>
      <w:r w:rsidRPr="00FB5195">
        <w:rPr>
          <w:rFonts w:ascii="Calibri" w:hAnsi="Calibri" w:cs="Calibri"/>
        </w:rPr>
        <w:t>can be taken as electives across a wide range of other degree programs</w:t>
      </w:r>
      <w:r>
        <w:rPr>
          <w:rFonts w:ascii="Calibri" w:hAnsi="Calibri" w:cs="Calibri"/>
        </w:rPr>
        <w:t xml:space="preserve">.  </w:t>
      </w:r>
      <w:r>
        <w:rPr>
          <w:rFonts w:ascii="Calibri" w:hAnsi="Calibri" w:cs="Calibri"/>
        </w:rPr>
        <w:br/>
      </w:r>
      <w:r w:rsidRPr="00AE5C38">
        <w:rPr>
          <w:rFonts w:ascii="Calibri" w:hAnsi="Calibri" w:cs="Calibri"/>
          <w:b/>
          <w:bCs/>
        </w:rPr>
        <w:t xml:space="preserve">Details of these electives can be found at </w:t>
      </w:r>
      <w:hyperlink r:id="rId17" w:history="1">
        <w:r w:rsidRPr="00DB1955">
          <w:rPr>
            <w:rStyle w:val="Hyperlink"/>
            <w:rFonts w:ascii="Calibri" w:hAnsi="Calibri" w:cs="Calibri"/>
            <w:b/>
          </w:rPr>
          <w:t>Sustainability - Monash Business School</w:t>
        </w:r>
      </w:hyperlink>
      <w:r>
        <w:rPr>
          <w:rFonts w:ascii="Calibri" w:hAnsi="Calibri" w:cs="Calibri"/>
          <w:b/>
          <w:bCs/>
        </w:rPr>
        <w:t>.</w:t>
      </w:r>
    </w:p>
    <w:p w14:paraId="63C93E32" w14:textId="77777777" w:rsidR="006D0207" w:rsidRDefault="006D0207" w:rsidP="006D0207">
      <w:pPr>
        <w:rPr>
          <w:rFonts w:ascii="Calibri" w:hAnsi="Calibri" w:cs="Calibri"/>
          <w:b/>
          <w:bCs/>
        </w:rPr>
      </w:pPr>
    </w:p>
    <w:p w14:paraId="3A63E559" w14:textId="77777777" w:rsidR="006D0207" w:rsidRDefault="006D0207" w:rsidP="006D0207">
      <w:pPr>
        <w:pStyle w:val="ListParagraph"/>
        <w:numPr>
          <w:ilvl w:val="0"/>
          <w:numId w:val="12"/>
        </w:numPr>
        <w:contextualSpacing/>
        <w:rPr>
          <w:rFonts w:ascii="Calibri" w:hAnsi="Calibri" w:cs="Calibri"/>
          <w:b/>
          <w:bCs/>
          <w:sz w:val="26"/>
          <w:szCs w:val="26"/>
          <w:u w:val="single"/>
        </w:rPr>
      </w:pPr>
      <w:r>
        <w:rPr>
          <w:rFonts w:ascii="Calibri" w:hAnsi="Calibri" w:cs="Calibri"/>
          <w:b/>
          <w:bCs/>
          <w:sz w:val="26"/>
          <w:szCs w:val="26"/>
          <w:u w:val="single"/>
        </w:rPr>
        <w:t>Professional Practice in Engineering</w:t>
      </w:r>
    </w:p>
    <w:p w14:paraId="2562515D" w14:textId="77777777" w:rsidR="006D0207" w:rsidRDefault="006D0207" w:rsidP="006D0207">
      <w:pPr>
        <w:rPr>
          <w:rFonts w:ascii="Calibri" w:hAnsi="Calibri" w:cs="Calibri"/>
        </w:rPr>
      </w:pPr>
      <w:r w:rsidRPr="00930DFE">
        <w:rPr>
          <w:rFonts w:ascii="Calibri" w:hAnsi="Calibri" w:cs="Calibri"/>
        </w:rPr>
        <w:t xml:space="preserve">Monash Engineering now offers </w:t>
      </w:r>
      <w:r>
        <w:rPr>
          <w:rFonts w:ascii="Calibri" w:hAnsi="Calibri" w:cs="Calibri"/>
        </w:rPr>
        <w:t xml:space="preserve">students </w:t>
      </w:r>
      <w:r w:rsidRPr="00930DFE">
        <w:rPr>
          <w:rFonts w:ascii="Calibri" w:hAnsi="Calibri" w:cs="Calibri"/>
        </w:rPr>
        <w:t xml:space="preserve">a range of industry experience opportunities within </w:t>
      </w:r>
      <w:r>
        <w:rPr>
          <w:rFonts w:ascii="Calibri" w:hAnsi="Calibri" w:cs="Calibri"/>
        </w:rPr>
        <w:t>their</w:t>
      </w:r>
      <w:r w:rsidRPr="00930DFE">
        <w:rPr>
          <w:rFonts w:ascii="Calibri" w:hAnsi="Calibri" w:cs="Calibri"/>
        </w:rPr>
        <w:t xml:space="preserve"> curriculum. </w:t>
      </w:r>
      <w:r>
        <w:rPr>
          <w:rFonts w:ascii="Calibri" w:hAnsi="Calibri" w:cs="Calibri"/>
        </w:rPr>
        <w:t xml:space="preserve"> Students can c</w:t>
      </w:r>
      <w:r w:rsidRPr="00930DFE">
        <w:rPr>
          <w:rFonts w:ascii="Calibri" w:hAnsi="Calibri" w:cs="Calibri"/>
        </w:rPr>
        <w:t xml:space="preserve">hoose from a suite of four units designed to provide </w:t>
      </w:r>
      <w:r>
        <w:rPr>
          <w:rFonts w:ascii="Calibri" w:hAnsi="Calibri" w:cs="Calibri"/>
        </w:rPr>
        <w:t>them</w:t>
      </w:r>
      <w:r w:rsidRPr="00930DFE">
        <w:rPr>
          <w:rFonts w:ascii="Calibri" w:hAnsi="Calibri" w:cs="Calibri"/>
        </w:rPr>
        <w:t xml:space="preserve"> with a more enriching and tailored experience and providing </w:t>
      </w:r>
      <w:r>
        <w:rPr>
          <w:rFonts w:ascii="Calibri" w:hAnsi="Calibri" w:cs="Calibri"/>
        </w:rPr>
        <w:t>them</w:t>
      </w:r>
      <w:r w:rsidRPr="00930DFE">
        <w:rPr>
          <w:rFonts w:ascii="Calibri" w:hAnsi="Calibri" w:cs="Calibri"/>
        </w:rPr>
        <w:t xml:space="preserve"> with a competitive edge to </w:t>
      </w:r>
      <w:r>
        <w:rPr>
          <w:rFonts w:ascii="Calibri" w:hAnsi="Calibri" w:cs="Calibri"/>
        </w:rPr>
        <w:t>their</w:t>
      </w:r>
      <w:r w:rsidRPr="00930DFE">
        <w:rPr>
          <w:rFonts w:ascii="Calibri" w:hAnsi="Calibri" w:cs="Calibri"/>
        </w:rPr>
        <w:t xml:space="preserve"> engineering journey.</w:t>
      </w:r>
    </w:p>
    <w:p w14:paraId="47D821F2" w14:textId="77777777" w:rsidR="006D0207" w:rsidRDefault="006D0207" w:rsidP="006D0207">
      <w:pPr>
        <w:rPr>
          <w:rFonts w:ascii="Calibri" w:hAnsi="Calibri" w:cs="Calibri"/>
        </w:rPr>
      </w:pPr>
    </w:p>
    <w:p w14:paraId="499B0D7E" w14:textId="77777777" w:rsidR="006D0207" w:rsidRDefault="006D0207" w:rsidP="006D0207">
      <w:pPr>
        <w:rPr>
          <w:rFonts w:ascii="Calibri" w:hAnsi="Calibri" w:cs="Calibri"/>
          <w:b/>
          <w:bCs/>
        </w:rPr>
      </w:pPr>
      <w:r>
        <w:rPr>
          <w:rFonts w:ascii="Calibri" w:hAnsi="Calibri" w:cs="Calibri"/>
          <w:b/>
          <w:bCs/>
        </w:rPr>
        <w:t xml:space="preserve">Students are encouraged to browse </w:t>
      </w:r>
      <w:hyperlink r:id="rId18" w:history="1">
        <w:r>
          <w:rPr>
            <w:rStyle w:val="Hyperlink"/>
            <w:rFonts w:ascii="Calibri" w:hAnsi="Calibri" w:cs="Calibri"/>
            <w:b/>
          </w:rPr>
          <w:t>Professional practice - Engineering</w:t>
        </w:r>
      </w:hyperlink>
      <w:r>
        <w:rPr>
          <w:rFonts w:ascii="Calibri" w:hAnsi="Calibri" w:cs="Calibri"/>
          <w:b/>
          <w:bCs/>
        </w:rPr>
        <w:t xml:space="preserve"> to find out more.</w:t>
      </w:r>
    </w:p>
    <w:p w14:paraId="67B5A000" w14:textId="77777777" w:rsidR="009754EF" w:rsidRDefault="009754EF" w:rsidP="00CC4575">
      <w:pPr>
        <w:pStyle w:val="NoSpacing"/>
        <w:rPr>
          <w:rFonts w:cs="Calibri"/>
          <w:b/>
          <w:sz w:val="28"/>
          <w:szCs w:val="24"/>
          <w:u w:val="single"/>
        </w:rPr>
      </w:pPr>
    </w:p>
    <w:p w14:paraId="46EF7789" w14:textId="77777777" w:rsidR="006D0207" w:rsidRDefault="006D0207" w:rsidP="00BF7358">
      <w:pPr>
        <w:pStyle w:val="NoSpacing"/>
        <w:rPr>
          <w:b/>
          <w:bCs/>
          <w:sz w:val="28"/>
          <w:szCs w:val="28"/>
          <w:u w:val="single"/>
        </w:rPr>
      </w:pPr>
    </w:p>
    <w:p w14:paraId="5A9E6B11" w14:textId="77777777" w:rsidR="00B71B5E" w:rsidRDefault="00B71B5E" w:rsidP="00BF7358">
      <w:pPr>
        <w:pStyle w:val="NoSpacing"/>
        <w:rPr>
          <w:b/>
          <w:bCs/>
          <w:sz w:val="28"/>
          <w:szCs w:val="28"/>
          <w:u w:val="single"/>
        </w:rPr>
      </w:pPr>
    </w:p>
    <w:p w14:paraId="29F9E7F7" w14:textId="77777777" w:rsidR="00B71B5E" w:rsidRDefault="00B71B5E" w:rsidP="00B71B5E">
      <w:pPr>
        <w:rPr>
          <w:rFonts w:ascii="Calibri" w:hAnsi="Calibri" w:cs="Calibri"/>
          <w:b/>
          <w:bCs/>
          <w:sz w:val="28"/>
          <w:szCs w:val="28"/>
          <w:u w:val="single"/>
        </w:rPr>
      </w:pPr>
      <w:r w:rsidRPr="000D0395">
        <w:rPr>
          <w:noProof/>
          <w:sz w:val="28"/>
          <w:szCs w:val="28"/>
          <w:u w:val="single"/>
        </w:rPr>
        <w:lastRenderedPageBreak/>
        <w:drawing>
          <wp:inline distT="0" distB="0" distL="0" distR="0" wp14:anchorId="0E2E2C54" wp14:editId="1C673E0D">
            <wp:extent cx="810642" cy="801370"/>
            <wp:effectExtent l="0" t="0" r="0" b="0"/>
            <wp:docPr id="346955012" name="Picture 1" descr="A blue square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55012" name="Picture 1" descr="A blue square sign with yellow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8303" cy="808943"/>
                    </a:xfrm>
                    <a:prstGeom prst="rect">
                      <a:avLst/>
                    </a:prstGeom>
                    <a:noFill/>
                    <a:ln>
                      <a:noFill/>
                    </a:ln>
                  </pic:spPr>
                </pic:pic>
              </a:graphicData>
            </a:graphic>
          </wp:inline>
        </w:drawing>
      </w:r>
      <w:r>
        <w:rPr>
          <w:rFonts w:ascii="Calibri" w:hAnsi="Calibri" w:cs="Calibri"/>
          <w:b/>
          <w:bCs/>
          <w:sz w:val="28"/>
          <w:szCs w:val="28"/>
          <w:u w:val="single"/>
        </w:rPr>
        <w:t>Box Hill Institute Talk &amp; Tours</w:t>
      </w:r>
    </w:p>
    <w:p w14:paraId="7344B469" w14:textId="77777777" w:rsidR="00B71B5E" w:rsidRDefault="00B71B5E" w:rsidP="00B71B5E">
      <w:pPr>
        <w:rPr>
          <w:rFonts w:ascii="Calibri" w:hAnsi="Calibri" w:cs="Calibri"/>
        </w:rPr>
      </w:pPr>
      <w:r>
        <w:rPr>
          <w:rFonts w:ascii="Calibri" w:hAnsi="Calibri" w:cs="Calibri"/>
        </w:rPr>
        <w:t xml:space="preserve">Students keen on finding out about studying at Box Hill Institute, seeing the facilities, and speaking to teachers, are invited to attend one of three </w:t>
      </w:r>
      <w:r w:rsidRPr="00596AD8">
        <w:rPr>
          <w:rFonts w:ascii="Calibri" w:hAnsi="Calibri" w:cs="Calibri"/>
          <w:b/>
          <w:bCs/>
          <w:i/>
          <w:iCs/>
        </w:rPr>
        <w:t>Talk &amp; Tour</w:t>
      </w:r>
      <w:r>
        <w:rPr>
          <w:rFonts w:ascii="Calibri" w:hAnsi="Calibri" w:cs="Calibri"/>
          <w:i/>
          <w:iCs/>
        </w:rPr>
        <w:t xml:space="preserve"> </w:t>
      </w:r>
      <w:r>
        <w:rPr>
          <w:rFonts w:ascii="Calibri" w:hAnsi="Calibri" w:cs="Calibri"/>
        </w:rPr>
        <w:t xml:space="preserve">events taking place in March.   </w:t>
      </w:r>
      <w:r w:rsidRPr="00DF7342">
        <w:rPr>
          <w:rFonts w:ascii="Calibri" w:hAnsi="Calibri" w:cs="Calibri"/>
        </w:rPr>
        <w:t xml:space="preserve">Tours may include </w:t>
      </w:r>
      <w:r>
        <w:rPr>
          <w:rFonts w:ascii="Calibri" w:hAnsi="Calibri" w:cs="Calibri"/>
        </w:rPr>
        <w:t xml:space="preserve">the </w:t>
      </w:r>
      <w:r w:rsidRPr="00DF7342">
        <w:rPr>
          <w:rFonts w:ascii="Calibri" w:hAnsi="Calibri" w:cs="Calibri"/>
        </w:rPr>
        <w:t xml:space="preserve">hair and beauty salons, </w:t>
      </w:r>
      <w:r>
        <w:rPr>
          <w:rFonts w:ascii="Calibri" w:hAnsi="Calibri" w:cs="Calibri"/>
        </w:rPr>
        <w:t>the</w:t>
      </w:r>
      <w:r w:rsidRPr="00DF7342">
        <w:rPr>
          <w:rFonts w:ascii="Calibri" w:hAnsi="Calibri" w:cs="Calibri"/>
        </w:rPr>
        <w:t xml:space="preserve"> florist, Fountains Restaurant (which includes state of the art kitchens), the vet clinic, </w:t>
      </w:r>
      <w:r>
        <w:rPr>
          <w:rFonts w:ascii="Calibri" w:hAnsi="Calibri" w:cs="Calibri"/>
        </w:rPr>
        <w:t xml:space="preserve">the </w:t>
      </w:r>
      <w:r w:rsidRPr="00DF7342">
        <w:rPr>
          <w:rFonts w:ascii="Calibri" w:hAnsi="Calibri" w:cs="Calibri"/>
        </w:rPr>
        <w:t xml:space="preserve">music studios, automotive workshops and </w:t>
      </w:r>
      <w:r>
        <w:rPr>
          <w:rFonts w:ascii="Calibri" w:hAnsi="Calibri" w:cs="Calibri"/>
        </w:rPr>
        <w:t>much</w:t>
      </w:r>
      <w:r w:rsidRPr="00DF7342">
        <w:rPr>
          <w:rFonts w:ascii="Calibri" w:hAnsi="Calibri" w:cs="Calibri"/>
        </w:rPr>
        <w:t xml:space="preserve"> more. </w:t>
      </w:r>
    </w:p>
    <w:p w14:paraId="2DCA1D80" w14:textId="77777777" w:rsidR="00B71B5E" w:rsidRDefault="00B71B5E" w:rsidP="00B71B5E">
      <w:pPr>
        <w:rPr>
          <w:rFonts w:ascii="Calibri" w:hAnsi="Calibri" w:cs="Calibri"/>
        </w:rPr>
      </w:pPr>
    </w:p>
    <w:p w14:paraId="3DDA8CFE" w14:textId="77777777" w:rsidR="00B71B5E" w:rsidRPr="007B6678" w:rsidRDefault="00B71B5E" w:rsidP="00B71B5E">
      <w:pPr>
        <w:rPr>
          <w:rFonts w:ascii="Calibri" w:hAnsi="Calibri" w:cs="Calibri"/>
        </w:rPr>
      </w:pPr>
      <w:r w:rsidRPr="00596AD8">
        <w:rPr>
          <w:rFonts w:ascii="Calibri" w:hAnsi="Calibri" w:cs="Calibri"/>
          <w:b/>
          <w:bCs/>
          <w:u w:val="single"/>
        </w:rPr>
        <w:t>Dates</w:t>
      </w:r>
      <w:r>
        <w:rPr>
          <w:rFonts w:ascii="Calibri" w:hAnsi="Calibri" w:cs="Calibri"/>
          <w:b/>
          <w:bCs/>
        </w:rPr>
        <w:t>:</w:t>
      </w:r>
      <w:r>
        <w:rPr>
          <w:rFonts w:ascii="Calibri" w:hAnsi="Calibri" w:cs="Calibri"/>
          <w:b/>
          <w:bCs/>
        </w:rPr>
        <w:tab/>
      </w:r>
      <w:r>
        <w:rPr>
          <w:rFonts w:ascii="Calibri" w:hAnsi="Calibri" w:cs="Calibri"/>
          <w:b/>
          <w:bCs/>
        </w:rPr>
        <w:tab/>
      </w:r>
      <w:r>
        <w:rPr>
          <w:rFonts w:ascii="Calibri" w:hAnsi="Calibri" w:cs="Calibri"/>
        </w:rPr>
        <w:t xml:space="preserve">Tuesday 19 March – Elgar Campus </w:t>
      </w:r>
      <w:r>
        <w:rPr>
          <w:rFonts w:ascii="Calibri" w:hAnsi="Calibri" w:cs="Calibri"/>
        </w:rPr>
        <w:br/>
      </w:r>
      <w:r>
        <w:rPr>
          <w:rFonts w:ascii="Calibri" w:hAnsi="Calibri" w:cs="Calibri"/>
        </w:rPr>
        <w:tab/>
      </w:r>
      <w:r>
        <w:rPr>
          <w:rFonts w:ascii="Calibri" w:hAnsi="Calibri" w:cs="Calibri"/>
        </w:rPr>
        <w:tab/>
        <w:t>Tuesday 19 March – Nelson Campus</w:t>
      </w:r>
      <w:r>
        <w:rPr>
          <w:rFonts w:ascii="Calibri" w:hAnsi="Calibri" w:cs="Calibri"/>
        </w:rPr>
        <w:br/>
      </w:r>
      <w:r>
        <w:rPr>
          <w:rFonts w:ascii="Calibri" w:hAnsi="Calibri" w:cs="Calibri"/>
        </w:rPr>
        <w:tab/>
      </w:r>
      <w:r>
        <w:rPr>
          <w:rFonts w:ascii="Calibri" w:hAnsi="Calibri" w:cs="Calibri"/>
        </w:rPr>
        <w:tab/>
        <w:t>Thursday 21 March – Lilydale Campus</w:t>
      </w:r>
    </w:p>
    <w:p w14:paraId="045FCFC8" w14:textId="77777777" w:rsidR="00B71B5E" w:rsidRDefault="00B71B5E" w:rsidP="00B71B5E">
      <w:pPr>
        <w:rPr>
          <w:rFonts w:ascii="Calibri" w:hAnsi="Calibri" w:cs="Calibri"/>
        </w:rPr>
      </w:pPr>
      <w:r w:rsidRPr="00AC48AD">
        <w:rPr>
          <w:rFonts w:ascii="Calibri" w:hAnsi="Calibri" w:cs="Calibri"/>
          <w:b/>
          <w:bCs/>
          <w:u w:val="single"/>
        </w:rPr>
        <w:t>Time</w:t>
      </w:r>
      <w:r>
        <w:rPr>
          <w:rFonts w:ascii="Calibri" w:hAnsi="Calibri" w:cs="Calibri"/>
          <w:b/>
          <w:bCs/>
        </w:rPr>
        <w:t>:</w:t>
      </w:r>
      <w:r>
        <w:rPr>
          <w:rFonts w:ascii="Calibri" w:hAnsi="Calibri" w:cs="Calibri"/>
          <w:b/>
          <w:bCs/>
        </w:rPr>
        <w:tab/>
      </w:r>
      <w:r>
        <w:rPr>
          <w:rFonts w:ascii="Calibri" w:hAnsi="Calibri" w:cs="Calibri"/>
          <w:b/>
          <w:bCs/>
        </w:rPr>
        <w:tab/>
      </w:r>
      <w:r>
        <w:rPr>
          <w:rFonts w:ascii="Calibri" w:hAnsi="Calibri" w:cs="Calibri"/>
        </w:rPr>
        <w:t>4.00pm – 7.00pm</w:t>
      </w:r>
    </w:p>
    <w:p w14:paraId="6AB2E786" w14:textId="77777777" w:rsidR="00B71B5E" w:rsidRDefault="00B71B5E" w:rsidP="00B71B5E">
      <w:pPr>
        <w:rPr>
          <w:rFonts w:ascii="Calibri" w:hAnsi="Calibri" w:cs="Calibri"/>
        </w:rPr>
      </w:pPr>
    </w:p>
    <w:p w14:paraId="6C68DE89" w14:textId="77777777" w:rsidR="00B71B5E" w:rsidRPr="00AC48AD" w:rsidRDefault="00B71B5E" w:rsidP="00B71B5E">
      <w:pPr>
        <w:rPr>
          <w:rFonts w:ascii="Calibri" w:hAnsi="Calibri" w:cs="Calibri"/>
          <w:b/>
          <w:bCs/>
        </w:rPr>
      </w:pPr>
      <w:r>
        <w:rPr>
          <w:rFonts w:ascii="Calibri" w:hAnsi="Calibri" w:cs="Calibri"/>
          <w:b/>
          <w:bCs/>
        </w:rPr>
        <w:t xml:space="preserve">Registration is essential and students go into a competition to win a Student Study Pack valued at over $4000.  </w:t>
      </w:r>
      <w:r w:rsidRPr="006B0530">
        <w:rPr>
          <w:rFonts w:ascii="Calibri" w:hAnsi="Calibri" w:cs="Calibri"/>
          <w:b/>
          <w:bCs/>
        </w:rPr>
        <w:t xml:space="preserve">Browse </w:t>
      </w:r>
      <w:hyperlink r:id="rId20" w:history="1">
        <w:r w:rsidRPr="006B0530">
          <w:rPr>
            <w:rStyle w:val="Hyperlink"/>
            <w:rFonts w:ascii="Calibri" w:hAnsi="Calibri" w:cs="Calibri"/>
            <w:b/>
          </w:rPr>
          <w:t>Box Hill Institute Talk &amp; Tours</w:t>
        </w:r>
      </w:hyperlink>
      <w:r>
        <w:t xml:space="preserve"> </w:t>
      </w:r>
      <w:r>
        <w:rPr>
          <w:rFonts w:ascii="Calibri" w:hAnsi="Calibri" w:cs="Calibri"/>
          <w:b/>
          <w:bCs/>
        </w:rPr>
        <w:t>and choose the preferred Campus Tour or even more than one.</w:t>
      </w:r>
    </w:p>
    <w:p w14:paraId="3DF98F44" w14:textId="77777777" w:rsidR="00B71B5E" w:rsidRDefault="00B71B5E" w:rsidP="00BF7358">
      <w:pPr>
        <w:pStyle w:val="NoSpacing"/>
        <w:rPr>
          <w:b/>
          <w:bCs/>
          <w:sz w:val="28"/>
          <w:szCs w:val="28"/>
          <w:u w:val="single"/>
        </w:rPr>
      </w:pPr>
    </w:p>
    <w:p w14:paraId="2EB5536D" w14:textId="77777777" w:rsidR="006D0207" w:rsidRDefault="006D0207" w:rsidP="00BF7358">
      <w:pPr>
        <w:pStyle w:val="NoSpacing"/>
        <w:rPr>
          <w:b/>
          <w:bCs/>
          <w:sz w:val="28"/>
          <w:szCs w:val="28"/>
          <w:u w:val="single"/>
        </w:rPr>
      </w:pPr>
    </w:p>
    <w:p w14:paraId="51C417ED" w14:textId="41AC5459" w:rsidR="00BF7358" w:rsidRDefault="00BF7358" w:rsidP="00BF7358">
      <w:pPr>
        <w:pStyle w:val="NoSpacing"/>
        <w:rPr>
          <w:i/>
          <w:iCs/>
          <w:sz w:val="24"/>
          <w:szCs w:val="24"/>
        </w:rPr>
      </w:pPr>
      <w:r w:rsidRPr="00BF7358">
        <w:rPr>
          <w:b/>
          <w:noProof/>
          <w:sz w:val="28"/>
          <w:szCs w:val="28"/>
          <w:u w:val="single"/>
        </w:rPr>
        <w:drawing>
          <wp:inline distT="0" distB="0" distL="0" distR="0" wp14:anchorId="389F4919" wp14:editId="58C8C3B6">
            <wp:extent cx="807610" cy="661035"/>
            <wp:effectExtent l="0" t="0" r="0" b="5715"/>
            <wp:docPr id="1612483491" name="Picture 3" descr="Image result for How to qualify as an ac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w to qualify as an actu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226" cy="662358"/>
                    </a:xfrm>
                    <a:prstGeom prst="rect">
                      <a:avLst/>
                    </a:prstGeom>
                    <a:noFill/>
                    <a:ln>
                      <a:noFill/>
                    </a:ln>
                  </pic:spPr>
                </pic:pic>
              </a:graphicData>
            </a:graphic>
          </wp:inline>
        </w:drawing>
      </w:r>
      <w:r w:rsidRPr="00BF7358">
        <w:rPr>
          <w:b/>
          <w:bCs/>
          <w:sz w:val="28"/>
          <w:szCs w:val="28"/>
          <w:u w:val="single"/>
        </w:rPr>
        <w:t xml:space="preserve"> How to become an Actuary</w:t>
      </w:r>
      <w:r>
        <w:rPr>
          <w:b/>
          <w:bCs/>
          <w:u w:val="single"/>
        </w:rPr>
        <w:br/>
      </w:r>
      <w:r>
        <w:rPr>
          <w:sz w:val="24"/>
          <w:szCs w:val="24"/>
        </w:rPr>
        <w:t xml:space="preserve">According to the </w:t>
      </w:r>
      <w:hyperlink r:id="rId22" w:history="1">
        <w:r>
          <w:rPr>
            <w:rStyle w:val="Hyperlink"/>
            <w:sz w:val="24"/>
            <w:szCs w:val="24"/>
          </w:rPr>
          <w:t>Actuaries Institute</w:t>
        </w:r>
      </w:hyperlink>
      <w:r>
        <w:rPr>
          <w:i/>
          <w:iCs/>
          <w:sz w:val="24"/>
          <w:szCs w:val="24"/>
        </w:rPr>
        <w:t>, actuaries evaluate risk and opportunity – they apply mathematical, statistical, economic and financial analyses to a wide range of business problems.  We work in new, high-growth fields, such as data science, energy resources, and climate risk in addition to more readily recognised fields like insurance, superannuation, wealth management, investments, health financing, and banking.  Many actuaries also hold executive positions in the operational management of financial institutions.  </w:t>
      </w:r>
    </w:p>
    <w:p w14:paraId="6AD6C2C0" w14:textId="77777777" w:rsidR="00BF7358" w:rsidRDefault="00BF7358" w:rsidP="00BF7358">
      <w:pPr>
        <w:pStyle w:val="NoSpacing"/>
        <w:rPr>
          <w:i/>
          <w:iCs/>
          <w:sz w:val="24"/>
          <w:szCs w:val="24"/>
        </w:rPr>
      </w:pPr>
    </w:p>
    <w:p w14:paraId="4BFA2FEB" w14:textId="77777777" w:rsidR="00BF7358" w:rsidRDefault="00BF7358" w:rsidP="00BF7358">
      <w:pPr>
        <w:pStyle w:val="NoSpacing"/>
        <w:rPr>
          <w:sz w:val="24"/>
          <w:szCs w:val="24"/>
        </w:rPr>
      </w:pPr>
      <w:r>
        <w:rPr>
          <w:sz w:val="24"/>
          <w:szCs w:val="24"/>
        </w:rPr>
        <w:t xml:space="preserve">Students might like to watch this short YouTube clip - </w:t>
      </w:r>
      <w:hyperlink r:id="rId23" w:history="1">
        <w:r>
          <w:rPr>
            <w:rStyle w:val="Hyperlink"/>
            <w:sz w:val="24"/>
            <w:szCs w:val="24"/>
          </w:rPr>
          <w:t>What do you do in your current job as an Actuary? - YouTube</w:t>
        </w:r>
      </w:hyperlink>
      <w:r>
        <w:rPr>
          <w:sz w:val="24"/>
          <w:szCs w:val="24"/>
        </w:rPr>
        <w:t xml:space="preserve"> to learn more.</w:t>
      </w:r>
      <w:r>
        <w:rPr>
          <w:sz w:val="24"/>
          <w:szCs w:val="24"/>
        </w:rPr>
        <w:br/>
      </w:r>
      <w:r>
        <w:rPr>
          <w:sz w:val="24"/>
          <w:szCs w:val="24"/>
        </w:rPr>
        <w:br/>
        <w:t xml:space="preserve">The actuarial education program in Australia is made up of three parts, the </w:t>
      </w:r>
      <w:r>
        <w:rPr>
          <w:i/>
          <w:iCs/>
          <w:sz w:val="24"/>
          <w:szCs w:val="24"/>
        </w:rPr>
        <w:t>Foundation Program</w:t>
      </w:r>
      <w:r>
        <w:rPr>
          <w:sz w:val="24"/>
          <w:szCs w:val="24"/>
        </w:rPr>
        <w:t xml:space="preserve">, the </w:t>
      </w:r>
      <w:r>
        <w:rPr>
          <w:i/>
          <w:iCs/>
          <w:sz w:val="24"/>
          <w:szCs w:val="24"/>
        </w:rPr>
        <w:t>Actuary Program</w:t>
      </w:r>
      <w:r>
        <w:rPr>
          <w:sz w:val="24"/>
          <w:szCs w:val="24"/>
        </w:rPr>
        <w:t xml:space="preserve">, and the </w:t>
      </w:r>
      <w:r>
        <w:rPr>
          <w:i/>
          <w:iCs/>
          <w:sz w:val="24"/>
          <w:szCs w:val="24"/>
        </w:rPr>
        <w:t>Fellowship Program</w:t>
      </w:r>
      <w:r>
        <w:rPr>
          <w:sz w:val="24"/>
          <w:szCs w:val="24"/>
        </w:rPr>
        <w:t xml:space="preserve">.  </w:t>
      </w:r>
    </w:p>
    <w:p w14:paraId="580D2110" w14:textId="77777777" w:rsidR="00BF7358" w:rsidRDefault="00BF7358" w:rsidP="00BF7358">
      <w:pPr>
        <w:pStyle w:val="NoSpacing"/>
        <w:rPr>
          <w:sz w:val="24"/>
          <w:szCs w:val="24"/>
        </w:rPr>
      </w:pPr>
    </w:p>
    <w:p w14:paraId="0ABA42B9" w14:textId="77777777" w:rsidR="00BF7358" w:rsidRDefault="00BF7358" w:rsidP="00BF7358">
      <w:pPr>
        <w:pStyle w:val="NoSpacing"/>
        <w:rPr>
          <w:sz w:val="24"/>
          <w:szCs w:val="24"/>
        </w:rPr>
      </w:pPr>
      <w:r>
        <w:rPr>
          <w:sz w:val="24"/>
          <w:szCs w:val="24"/>
          <w:u w:val="single"/>
        </w:rPr>
        <w:t>Foundation Program</w:t>
      </w:r>
      <w:r>
        <w:rPr>
          <w:sz w:val="24"/>
          <w:szCs w:val="24"/>
        </w:rPr>
        <w:t xml:space="preserve"> – studying an undergraduate actuarial degree at one of eight accredited universities seven in Australia and one in New Zealand.</w:t>
      </w:r>
    </w:p>
    <w:p w14:paraId="269E79DE" w14:textId="77777777" w:rsidR="00BF7358" w:rsidRDefault="00BF7358" w:rsidP="00BF7358">
      <w:pPr>
        <w:pStyle w:val="NoSpacing"/>
        <w:rPr>
          <w:sz w:val="24"/>
          <w:szCs w:val="24"/>
        </w:rPr>
      </w:pPr>
    </w:p>
    <w:p w14:paraId="28B5F824" w14:textId="77777777" w:rsidR="00BF7358" w:rsidRDefault="00BF7358" w:rsidP="00BF7358">
      <w:pPr>
        <w:pStyle w:val="NoSpacing"/>
        <w:rPr>
          <w:sz w:val="24"/>
          <w:szCs w:val="24"/>
        </w:rPr>
      </w:pPr>
      <w:r>
        <w:rPr>
          <w:sz w:val="24"/>
          <w:szCs w:val="24"/>
          <w:u w:val="single"/>
        </w:rPr>
        <w:t>Actuary Program</w:t>
      </w:r>
      <w:r>
        <w:rPr>
          <w:sz w:val="24"/>
          <w:szCs w:val="24"/>
        </w:rPr>
        <w:t xml:space="preserve"> – students learn how to apply their technical actuarial skills to a range of problems across different business environments.  Two subjects in this program are taught by the accredited universities with the other two being delivered by the Actuaries Institute in an online environment.</w:t>
      </w:r>
    </w:p>
    <w:p w14:paraId="67FD4349" w14:textId="77777777" w:rsidR="00BF7358" w:rsidRDefault="00BF7358" w:rsidP="00BF7358">
      <w:pPr>
        <w:pStyle w:val="NoSpacing"/>
        <w:rPr>
          <w:sz w:val="24"/>
          <w:szCs w:val="24"/>
        </w:rPr>
      </w:pPr>
    </w:p>
    <w:p w14:paraId="7A0B28EC" w14:textId="77777777" w:rsidR="00BF7358" w:rsidRDefault="00BF7358" w:rsidP="00BF7358">
      <w:pPr>
        <w:pStyle w:val="NoSpacing"/>
        <w:rPr>
          <w:sz w:val="24"/>
          <w:szCs w:val="24"/>
        </w:rPr>
      </w:pPr>
      <w:r>
        <w:rPr>
          <w:sz w:val="24"/>
          <w:szCs w:val="24"/>
          <w:u w:val="single"/>
        </w:rPr>
        <w:lastRenderedPageBreak/>
        <w:t>Fellowship Program</w:t>
      </w:r>
      <w:r>
        <w:rPr>
          <w:sz w:val="24"/>
          <w:szCs w:val="24"/>
        </w:rPr>
        <w:t xml:space="preserve"> – this level is offered online through the Actuaries Institute.   It builds on the Foundation and Actuary Programs and teaches students how to apply their skills and complete studies in specialist areas of practice.</w:t>
      </w:r>
    </w:p>
    <w:p w14:paraId="192DEB09" w14:textId="77777777" w:rsidR="00BF7358" w:rsidRDefault="00BF7358" w:rsidP="00BF7358">
      <w:pPr>
        <w:pStyle w:val="NoSpacing"/>
        <w:rPr>
          <w:sz w:val="24"/>
          <w:szCs w:val="24"/>
        </w:rPr>
      </w:pPr>
    </w:p>
    <w:p w14:paraId="119E7125" w14:textId="77777777" w:rsidR="00BF7358" w:rsidRDefault="00BF7358" w:rsidP="00BF7358">
      <w:pPr>
        <w:pStyle w:val="NoSpacing"/>
        <w:rPr>
          <w:sz w:val="24"/>
          <w:szCs w:val="24"/>
        </w:rPr>
      </w:pPr>
      <w:r>
        <w:rPr>
          <w:sz w:val="24"/>
          <w:szCs w:val="24"/>
        </w:rPr>
        <w:t xml:space="preserve">Students can become a fully qualified actuary by applying to become a Fellow of the Institute of Actuaries of Australia (FIAA).  To qualify as a Fellow, members need to have passed or been exempted from the Institute's examinations, met the practical experience requirement, and completed a recognised Professionalism Course.  </w:t>
      </w:r>
    </w:p>
    <w:p w14:paraId="066746C0" w14:textId="77777777" w:rsidR="00BF7358" w:rsidRDefault="00BF7358" w:rsidP="00BF7358">
      <w:pPr>
        <w:pStyle w:val="NoSpacing"/>
        <w:rPr>
          <w:sz w:val="24"/>
          <w:szCs w:val="24"/>
        </w:rPr>
      </w:pPr>
    </w:p>
    <w:p w14:paraId="4311F0F7" w14:textId="77777777" w:rsidR="00BF7358" w:rsidRDefault="00BF7358" w:rsidP="00BF7358">
      <w:pPr>
        <w:pStyle w:val="NoSpacing"/>
        <w:rPr>
          <w:b/>
          <w:bCs/>
          <w:sz w:val="24"/>
          <w:szCs w:val="24"/>
        </w:rPr>
      </w:pPr>
      <w:r>
        <w:rPr>
          <w:b/>
          <w:bCs/>
          <w:sz w:val="24"/>
          <w:szCs w:val="24"/>
        </w:rPr>
        <w:t xml:space="preserve">Find out more at </w:t>
      </w:r>
      <w:bookmarkStart w:id="1" w:name="_Hlk159428665"/>
      <w:r w:rsidR="004F0382">
        <w:fldChar w:fldCharType="begin"/>
      </w:r>
      <w:r w:rsidR="004F0382">
        <w:instrText>HYPERLINK "https://www.actuaries.asn.au/becoming-an-actuary"</w:instrText>
      </w:r>
      <w:r w:rsidR="004F0382">
        <w:fldChar w:fldCharType="separate"/>
      </w:r>
      <w:r>
        <w:rPr>
          <w:rStyle w:val="Hyperlink"/>
          <w:b/>
          <w:bCs/>
          <w:sz w:val="24"/>
          <w:szCs w:val="24"/>
        </w:rPr>
        <w:t>Becoming an Actuary | Actuaries Institute</w:t>
      </w:r>
      <w:r w:rsidR="004F0382">
        <w:rPr>
          <w:rStyle w:val="Hyperlink"/>
          <w:b/>
          <w:bCs/>
          <w:sz w:val="24"/>
          <w:szCs w:val="24"/>
        </w:rPr>
        <w:fldChar w:fldCharType="end"/>
      </w:r>
      <w:bookmarkEnd w:id="1"/>
      <w:r>
        <w:rPr>
          <w:b/>
          <w:bCs/>
          <w:sz w:val="24"/>
          <w:szCs w:val="24"/>
        </w:rPr>
        <w:t>.</w:t>
      </w:r>
    </w:p>
    <w:p w14:paraId="51EE2084" w14:textId="77777777" w:rsidR="00BF7358" w:rsidRPr="00B2500B" w:rsidRDefault="00BF7358" w:rsidP="00CC4575">
      <w:pPr>
        <w:pStyle w:val="NoSpacing"/>
        <w:rPr>
          <w:rFonts w:cs="Calibri"/>
          <w:bCs/>
          <w:sz w:val="6"/>
          <w:szCs w:val="6"/>
        </w:rPr>
      </w:pPr>
    </w:p>
    <w:p w14:paraId="0CE00EAD" w14:textId="77777777" w:rsidR="00A07F5E" w:rsidRPr="0040538C" w:rsidRDefault="00A07F5E" w:rsidP="00CC4575">
      <w:pPr>
        <w:pStyle w:val="NoSpacing"/>
        <w:rPr>
          <w:rFonts w:cs="Calibri"/>
          <w:bCs/>
          <w:sz w:val="30"/>
          <w:szCs w:val="30"/>
        </w:rPr>
      </w:pPr>
    </w:p>
    <w:p w14:paraId="42D5C1B8" w14:textId="03A7E7EC" w:rsidR="00B2500B" w:rsidRPr="00B2500B" w:rsidRDefault="00B2500B" w:rsidP="00B2500B">
      <w:pPr>
        <w:pStyle w:val="NoSpacing"/>
        <w:rPr>
          <w:rFonts w:cs="Calibri"/>
          <w:b/>
          <w:sz w:val="28"/>
          <w:szCs w:val="28"/>
          <w:u w:val="single"/>
        </w:rPr>
      </w:pPr>
      <w:r w:rsidRPr="00B2500B">
        <w:rPr>
          <w:noProof/>
          <w:u w:val="single"/>
        </w:rPr>
        <w:drawing>
          <wp:inline distT="0" distB="0" distL="0" distR="0" wp14:anchorId="45AFCDC2" wp14:editId="03518303">
            <wp:extent cx="623814" cy="623814"/>
            <wp:effectExtent l="0" t="0" r="5080" b="5080"/>
            <wp:docPr id="469405259" name="Picture 2" descr="Victorian Governmen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n Government New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6828" cy="626828"/>
                    </a:xfrm>
                    <a:prstGeom prst="rect">
                      <a:avLst/>
                    </a:prstGeom>
                    <a:noFill/>
                    <a:ln>
                      <a:noFill/>
                    </a:ln>
                  </pic:spPr>
                </pic:pic>
              </a:graphicData>
            </a:graphic>
          </wp:inline>
        </w:drawing>
      </w:r>
      <w:r w:rsidRPr="00B2500B">
        <w:rPr>
          <w:rFonts w:cs="Calibri"/>
          <w:b/>
          <w:i/>
          <w:iCs/>
          <w:sz w:val="28"/>
          <w:szCs w:val="28"/>
          <w:u w:val="single"/>
        </w:rPr>
        <w:t xml:space="preserve"> Free</w:t>
      </w:r>
      <w:r w:rsidRPr="00B2500B">
        <w:rPr>
          <w:rFonts w:cs="Calibri"/>
          <w:b/>
          <w:sz w:val="28"/>
          <w:szCs w:val="28"/>
          <w:u w:val="single"/>
        </w:rPr>
        <w:t xml:space="preserve"> Uni</w:t>
      </w:r>
      <w:r>
        <w:rPr>
          <w:rFonts w:cs="Calibri"/>
          <w:b/>
          <w:sz w:val="28"/>
          <w:szCs w:val="28"/>
          <w:u w:val="single"/>
        </w:rPr>
        <w:t>versity</w:t>
      </w:r>
      <w:r w:rsidRPr="00B2500B">
        <w:rPr>
          <w:rFonts w:cs="Calibri"/>
          <w:b/>
          <w:sz w:val="28"/>
          <w:szCs w:val="28"/>
          <w:u w:val="single"/>
        </w:rPr>
        <w:t xml:space="preserve"> Degrees </w:t>
      </w:r>
      <w:r>
        <w:rPr>
          <w:rFonts w:cs="Calibri"/>
          <w:b/>
          <w:sz w:val="28"/>
          <w:szCs w:val="28"/>
          <w:u w:val="single"/>
        </w:rPr>
        <w:t xml:space="preserve">for </w:t>
      </w:r>
      <w:r w:rsidRPr="00B2500B">
        <w:rPr>
          <w:rFonts w:cs="Calibri"/>
          <w:b/>
          <w:sz w:val="28"/>
          <w:szCs w:val="28"/>
          <w:u w:val="single"/>
        </w:rPr>
        <w:t>Victorians studying High School Teaching</w:t>
      </w:r>
    </w:p>
    <w:p w14:paraId="2D8F6F67" w14:textId="7AB68341" w:rsidR="00A07F5E" w:rsidRPr="00713B09" w:rsidRDefault="00B2500B" w:rsidP="00CC4575">
      <w:pPr>
        <w:pStyle w:val="NoSpacing"/>
        <w:rPr>
          <w:rFonts w:cs="Calibri"/>
          <w:b/>
          <w:sz w:val="24"/>
          <w:szCs w:val="24"/>
        </w:rPr>
      </w:pPr>
      <w:r>
        <w:rPr>
          <w:rFonts w:cs="Calibri"/>
          <w:bCs/>
          <w:sz w:val="24"/>
          <w:szCs w:val="24"/>
        </w:rPr>
        <w:t xml:space="preserve">In the latter part of 2023, the </w:t>
      </w:r>
      <w:r w:rsidRPr="00B2500B">
        <w:rPr>
          <w:rFonts w:cs="Calibri"/>
          <w:bCs/>
          <w:sz w:val="24"/>
          <w:szCs w:val="24"/>
        </w:rPr>
        <w:t>Victorian Government</w:t>
      </w:r>
      <w:r>
        <w:rPr>
          <w:rFonts w:cs="Calibri"/>
          <w:bCs/>
          <w:sz w:val="24"/>
          <w:szCs w:val="24"/>
        </w:rPr>
        <w:t xml:space="preserve"> announced it was </w:t>
      </w:r>
      <w:r w:rsidRPr="00B2500B">
        <w:rPr>
          <w:rFonts w:cs="Calibri"/>
          <w:bCs/>
          <w:i/>
          <w:iCs/>
          <w:sz w:val="24"/>
          <w:szCs w:val="24"/>
        </w:rPr>
        <w:t>investing more than $93.2 million to deliver scholarships to support secondary teaching degree students with the cost of studying and living.</w:t>
      </w:r>
      <w:r w:rsidR="00713B09">
        <w:rPr>
          <w:rFonts w:cs="Calibri"/>
          <w:bCs/>
          <w:i/>
          <w:iCs/>
          <w:sz w:val="24"/>
          <w:szCs w:val="24"/>
        </w:rPr>
        <w:t xml:space="preserve">  </w:t>
      </w:r>
      <w:r w:rsidR="00713B09">
        <w:rPr>
          <w:rFonts w:cs="Calibri"/>
          <w:bCs/>
          <w:sz w:val="24"/>
          <w:szCs w:val="24"/>
        </w:rPr>
        <w:t>Students who e</w:t>
      </w:r>
      <w:r w:rsidR="00713B09" w:rsidRPr="00713B09">
        <w:rPr>
          <w:rFonts w:cs="Calibri"/>
          <w:bCs/>
          <w:sz w:val="24"/>
          <w:szCs w:val="24"/>
        </w:rPr>
        <w:t xml:space="preserve">nrol in a Victorian secondary school teaching degree could be eligible for a scholarship that pays </w:t>
      </w:r>
      <w:r w:rsidR="00713B09">
        <w:rPr>
          <w:rFonts w:cs="Calibri"/>
          <w:bCs/>
          <w:sz w:val="24"/>
          <w:szCs w:val="24"/>
        </w:rPr>
        <w:t>them</w:t>
      </w:r>
      <w:r w:rsidR="00713B09" w:rsidRPr="00713B09">
        <w:rPr>
          <w:rFonts w:cs="Calibri"/>
          <w:bCs/>
          <w:sz w:val="24"/>
          <w:szCs w:val="24"/>
        </w:rPr>
        <w:t xml:space="preserve"> while </w:t>
      </w:r>
      <w:r w:rsidR="00713B09">
        <w:rPr>
          <w:rFonts w:cs="Calibri"/>
          <w:bCs/>
          <w:sz w:val="24"/>
          <w:szCs w:val="24"/>
        </w:rPr>
        <w:t>they</w:t>
      </w:r>
      <w:r w:rsidR="00713B09" w:rsidRPr="00713B09">
        <w:rPr>
          <w:rFonts w:cs="Calibri"/>
          <w:bCs/>
          <w:sz w:val="24"/>
          <w:szCs w:val="24"/>
        </w:rPr>
        <w:t xml:space="preserve"> </w:t>
      </w:r>
      <w:r w:rsidR="001F4B1B" w:rsidRPr="00713B09">
        <w:rPr>
          <w:rFonts w:cs="Calibri"/>
          <w:bCs/>
          <w:sz w:val="24"/>
          <w:szCs w:val="24"/>
        </w:rPr>
        <w:t>learn</w:t>
      </w:r>
      <w:r w:rsidR="001F4B1B">
        <w:rPr>
          <w:rFonts w:cs="Calibri"/>
          <w:bCs/>
          <w:sz w:val="24"/>
          <w:szCs w:val="24"/>
        </w:rPr>
        <w:t xml:space="preserve"> and</w:t>
      </w:r>
      <w:r w:rsidR="00713B09" w:rsidRPr="00713B09">
        <w:rPr>
          <w:rFonts w:cs="Calibri"/>
          <w:bCs/>
          <w:sz w:val="24"/>
          <w:szCs w:val="24"/>
        </w:rPr>
        <w:t xml:space="preserve"> can cover the cost of </w:t>
      </w:r>
      <w:r w:rsidR="00713B09">
        <w:rPr>
          <w:rFonts w:cs="Calibri"/>
          <w:bCs/>
          <w:sz w:val="24"/>
          <w:szCs w:val="24"/>
        </w:rPr>
        <w:t>their</w:t>
      </w:r>
      <w:r w:rsidR="00713B09" w:rsidRPr="00713B09">
        <w:rPr>
          <w:rFonts w:cs="Calibri"/>
          <w:bCs/>
          <w:sz w:val="24"/>
          <w:szCs w:val="24"/>
        </w:rPr>
        <w:t xml:space="preserve"> studies.</w:t>
      </w:r>
      <w:r w:rsidR="00713B09">
        <w:rPr>
          <w:rFonts w:cs="Calibri"/>
          <w:bCs/>
          <w:sz w:val="24"/>
          <w:szCs w:val="24"/>
        </w:rPr>
        <w:t xml:space="preserve">  </w:t>
      </w:r>
      <w:r w:rsidR="00713B09">
        <w:rPr>
          <w:rFonts w:cs="Calibri"/>
          <w:bCs/>
          <w:sz w:val="24"/>
          <w:szCs w:val="24"/>
        </w:rPr>
        <w:br/>
      </w:r>
      <w:r w:rsidR="00BF7358">
        <w:rPr>
          <w:rFonts w:cs="Calibri"/>
          <w:b/>
          <w:sz w:val="24"/>
          <w:szCs w:val="24"/>
        </w:rPr>
        <w:br/>
      </w:r>
      <w:r w:rsidR="00713B09">
        <w:rPr>
          <w:rFonts w:cs="Calibri"/>
          <w:b/>
          <w:sz w:val="24"/>
          <w:szCs w:val="24"/>
        </w:rPr>
        <w:t xml:space="preserve">Find out more, including eligibility details at </w:t>
      </w:r>
      <w:hyperlink r:id="rId25" w:history="1">
        <w:r w:rsidR="00713B09">
          <w:rPr>
            <w:rStyle w:val="Hyperlink"/>
            <w:rFonts w:cs="Calibri"/>
            <w:b/>
            <w:sz w:val="24"/>
            <w:szCs w:val="24"/>
          </w:rPr>
          <w:t>Vic Scholarships for Secondary Teaching</w:t>
        </w:r>
      </w:hyperlink>
      <w:r w:rsidR="00713B09">
        <w:rPr>
          <w:rFonts w:cs="Calibri"/>
          <w:b/>
          <w:sz w:val="24"/>
          <w:szCs w:val="24"/>
        </w:rPr>
        <w:t xml:space="preserve">. </w:t>
      </w:r>
    </w:p>
    <w:p w14:paraId="1F016CFA" w14:textId="77777777" w:rsidR="00A07F5E" w:rsidRDefault="00A07F5E" w:rsidP="00CC4575">
      <w:pPr>
        <w:pStyle w:val="NoSpacing"/>
        <w:rPr>
          <w:rFonts w:cs="Calibri"/>
          <w:bCs/>
          <w:sz w:val="24"/>
          <w:szCs w:val="24"/>
        </w:rPr>
      </w:pPr>
    </w:p>
    <w:p w14:paraId="6744C4D5" w14:textId="77777777" w:rsidR="00A07F5E" w:rsidRPr="00B71B5E" w:rsidRDefault="00A07F5E" w:rsidP="00CC4575">
      <w:pPr>
        <w:pStyle w:val="NoSpacing"/>
        <w:rPr>
          <w:rFonts w:cs="Calibri"/>
          <w:bCs/>
          <w:sz w:val="34"/>
          <w:szCs w:val="34"/>
        </w:rPr>
      </w:pPr>
    </w:p>
    <w:p w14:paraId="36E0D8A7" w14:textId="641619E9" w:rsidR="00A07F5E" w:rsidRPr="0040538C" w:rsidRDefault="0040538C" w:rsidP="00CC4575">
      <w:pPr>
        <w:pStyle w:val="NoSpacing"/>
        <w:rPr>
          <w:rFonts w:cs="Calibri"/>
          <w:b/>
          <w:sz w:val="28"/>
          <w:szCs w:val="28"/>
          <w:u w:val="single"/>
        </w:rPr>
      </w:pPr>
      <w:r w:rsidRPr="0040538C">
        <w:rPr>
          <w:noProof/>
          <w:u w:val="single"/>
          <w:lang w:eastAsia="en-AU"/>
        </w:rPr>
        <w:drawing>
          <wp:inline distT="0" distB="0" distL="0" distR="0" wp14:anchorId="364A9EA1" wp14:editId="67B44C52">
            <wp:extent cx="1600200" cy="528786"/>
            <wp:effectExtent l="1905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26" cstate="print"/>
                    <a:srcRect/>
                    <a:stretch>
                      <a:fillRect/>
                    </a:stretch>
                  </pic:blipFill>
                  <pic:spPr bwMode="auto">
                    <a:xfrm>
                      <a:off x="0" y="0"/>
                      <a:ext cx="1600200" cy="528786"/>
                    </a:xfrm>
                    <a:prstGeom prst="rect">
                      <a:avLst/>
                    </a:prstGeom>
                    <a:noFill/>
                    <a:ln w="9525">
                      <a:noFill/>
                      <a:miter lim="800000"/>
                      <a:headEnd/>
                      <a:tailEnd/>
                    </a:ln>
                  </pic:spPr>
                </pic:pic>
              </a:graphicData>
            </a:graphic>
          </wp:inline>
        </w:drawing>
      </w:r>
      <w:r w:rsidRPr="0040538C">
        <w:rPr>
          <w:rFonts w:cs="Calibri"/>
          <w:bCs/>
          <w:sz w:val="24"/>
          <w:szCs w:val="24"/>
          <w:u w:val="single"/>
        </w:rPr>
        <w:t xml:space="preserve"> </w:t>
      </w:r>
      <w:r w:rsidRPr="0040538C">
        <w:rPr>
          <w:rFonts w:cs="Calibri"/>
          <w:b/>
          <w:sz w:val="28"/>
          <w:szCs w:val="28"/>
          <w:u w:val="single"/>
        </w:rPr>
        <w:t>Studying Urban Planning at Melbourne</w:t>
      </w:r>
    </w:p>
    <w:p w14:paraId="539D567C" w14:textId="4854A55E" w:rsidR="00A07F5E" w:rsidRPr="0040538C" w:rsidRDefault="0040538C" w:rsidP="00CC4575">
      <w:pPr>
        <w:pStyle w:val="NoSpacing"/>
        <w:rPr>
          <w:rFonts w:cs="Calibri"/>
          <w:bCs/>
          <w:i/>
          <w:iCs/>
          <w:sz w:val="24"/>
          <w:szCs w:val="24"/>
        </w:rPr>
      </w:pPr>
      <w:r w:rsidRPr="0040538C">
        <w:rPr>
          <w:rFonts w:cs="Calibri"/>
          <w:bCs/>
          <w:i/>
          <w:iCs/>
          <w:sz w:val="24"/>
          <w:szCs w:val="24"/>
        </w:rPr>
        <w:t>Urban planning is the art of making places.</w:t>
      </w:r>
      <w:r>
        <w:rPr>
          <w:rFonts w:cs="Calibri"/>
          <w:bCs/>
          <w:i/>
          <w:iCs/>
          <w:sz w:val="24"/>
          <w:szCs w:val="24"/>
        </w:rPr>
        <w:t xml:space="preserve"> </w:t>
      </w:r>
      <w:r w:rsidRPr="0040538C">
        <w:rPr>
          <w:rFonts w:cs="Calibri"/>
          <w:bCs/>
          <w:i/>
          <w:iCs/>
          <w:sz w:val="24"/>
          <w:szCs w:val="24"/>
        </w:rPr>
        <w:t xml:space="preserve"> It’s a collaborative process that shapes the physical setting for life in urban areas.</w:t>
      </w:r>
    </w:p>
    <w:p w14:paraId="1C69AA4F" w14:textId="77777777" w:rsidR="00A07F5E" w:rsidRPr="0040538C" w:rsidRDefault="00A07F5E" w:rsidP="00CC4575">
      <w:pPr>
        <w:pStyle w:val="NoSpacing"/>
        <w:rPr>
          <w:rFonts w:cs="Calibri"/>
          <w:bCs/>
          <w:i/>
          <w:iCs/>
          <w:sz w:val="24"/>
          <w:szCs w:val="24"/>
        </w:rPr>
      </w:pPr>
    </w:p>
    <w:p w14:paraId="3E62727C" w14:textId="399B2846" w:rsidR="00A07F5E" w:rsidRDefault="0040538C" w:rsidP="00CC4575">
      <w:pPr>
        <w:pStyle w:val="NoSpacing"/>
        <w:rPr>
          <w:rFonts w:cs="Calibri"/>
          <w:bCs/>
          <w:sz w:val="24"/>
          <w:szCs w:val="24"/>
        </w:rPr>
      </w:pPr>
      <w:r w:rsidRPr="0040538C">
        <w:rPr>
          <w:rFonts w:cs="Calibri"/>
          <w:bCs/>
          <w:sz w:val="24"/>
          <w:szCs w:val="24"/>
        </w:rPr>
        <w:t xml:space="preserve">Urban planners explore the design and planning of public spaces, taking into consideration social, economic, </w:t>
      </w:r>
      <w:proofErr w:type="gramStart"/>
      <w:r w:rsidRPr="0040538C">
        <w:rPr>
          <w:rFonts w:cs="Calibri"/>
          <w:bCs/>
          <w:sz w:val="24"/>
          <w:szCs w:val="24"/>
        </w:rPr>
        <w:t>aesthetic</w:t>
      </w:r>
      <w:proofErr w:type="gramEnd"/>
      <w:r w:rsidRPr="0040538C">
        <w:rPr>
          <w:rFonts w:cs="Calibri"/>
          <w:bCs/>
          <w:sz w:val="24"/>
          <w:szCs w:val="24"/>
        </w:rPr>
        <w:t xml:space="preserve"> and environmental factors. </w:t>
      </w:r>
      <w:r>
        <w:rPr>
          <w:rFonts w:cs="Calibri"/>
          <w:bCs/>
          <w:sz w:val="24"/>
          <w:szCs w:val="24"/>
        </w:rPr>
        <w:t xml:space="preserve"> </w:t>
      </w:r>
      <w:r w:rsidRPr="0040538C">
        <w:rPr>
          <w:rFonts w:cs="Calibri"/>
          <w:bCs/>
          <w:sz w:val="24"/>
          <w:szCs w:val="24"/>
        </w:rPr>
        <w:t>Urban planners and designers are actively engaged with some of the most pressing issues of our time, including increased urbanisation, climate change and sustainable resourcing.</w:t>
      </w:r>
    </w:p>
    <w:p w14:paraId="067A86E7" w14:textId="77777777" w:rsidR="0040538C" w:rsidRDefault="0040538C" w:rsidP="00CC4575">
      <w:pPr>
        <w:pStyle w:val="NoSpacing"/>
        <w:rPr>
          <w:rFonts w:cs="Calibri"/>
          <w:bCs/>
          <w:sz w:val="24"/>
          <w:szCs w:val="24"/>
        </w:rPr>
      </w:pPr>
    </w:p>
    <w:p w14:paraId="287DAF99" w14:textId="076F518C" w:rsidR="0040538C" w:rsidRPr="0040538C" w:rsidRDefault="0040538C" w:rsidP="0040538C">
      <w:pPr>
        <w:pStyle w:val="NoSpacing"/>
        <w:rPr>
          <w:rFonts w:cs="Calibri"/>
          <w:bCs/>
          <w:sz w:val="24"/>
          <w:szCs w:val="24"/>
        </w:rPr>
      </w:pPr>
      <w:r>
        <w:rPr>
          <w:rFonts w:cs="Calibri"/>
          <w:bCs/>
          <w:sz w:val="24"/>
          <w:szCs w:val="24"/>
        </w:rPr>
        <w:t xml:space="preserve">The University of Melbourne offers a </w:t>
      </w:r>
      <w:r>
        <w:rPr>
          <w:rFonts w:cs="Calibri"/>
          <w:bCs/>
          <w:i/>
          <w:iCs/>
          <w:sz w:val="24"/>
          <w:szCs w:val="24"/>
        </w:rPr>
        <w:t>major</w:t>
      </w:r>
      <w:r>
        <w:rPr>
          <w:rFonts w:cs="Calibri"/>
          <w:bCs/>
          <w:sz w:val="24"/>
          <w:szCs w:val="24"/>
        </w:rPr>
        <w:t xml:space="preserve"> in </w:t>
      </w:r>
      <w:r w:rsidRPr="0040538C">
        <w:rPr>
          <w:rFonts w:cs="Calibri"/>
          <w:b/>
          <w:sz w:val="24"/>
          <w:szCs w:val="24"/>
        </w:rPr>
        <w:t>Urban Planning</w:t>
      </w:r>
      <w:r>
        <w:rPr>
          <w:rFonts w:cs="Calibri"/>
          <w:b/>
          <w:sz w:val="24"/>
          <w:szCs w:val="24"/>
        </w:rPr>
        <w:t xml:space="preserve"> </w:t>
      </w:r>
      <w:r>
        <w:rPr>
          <w:rFonts w:cs="Calibri"/>
          <w:bCs/>
          <w:sz w:val="24"/>
          <w:szCs w:val="24"/>
        </w:rPr>
        <w:t xml:space="preserve">through the </w:t>
      </w:r>
      <w:hyperlink r:id="rId27" w:history="1">
        <w:r>
          <w:rPr>
            <w:rStyle w:val="Hyperlink"/>
            <w:rFonts w:cs="Calibri"/>
            <w:bCs/>
            <w:sz w:val="24"/>
            <w:szCs w:val="24"/>
          </w:rPr>
          <w:t>Bachelor of Design</w:t>
        </w:r>
      </w:hyperlink>
      <w:r>
        <w:rPr>
          <w:rFonts w:cs="Calibri"/>
          <w:bCs/>
          <w:sz w:val="24"/>
          <w:szCs w:val="24"/>
        </w:rPr>
        <w:t xml:space="preserve">, and students are taught how to </w:t>
      </w:r>
      <w:r w:rsidRPr="0040538C">
        <w:rPr>
          <w:rFonts w:cs="Calibri"/>
          <w:bCs/>
          <w:sz w:val="24"/>
          <w:szCs w:val="24"/>
        </w:rPr>
        <w:t xml:space="preserve">develop a broad knowledge of the history, theory, leading concepts and principles of urban planning and design. </w:t>
      </w:r>
      <w:r>
        <w:rPr>
          <w:rFonts w:cs="Calibri"/>
          <w:bCs/>
          <w:sz w:val="24"/>
          <w:szCs w:val="24"/>
        </w:rPr>
        <w:t xml:space="preserve"> Students get to </w:t>
      </w:r>
      <w:r w:rsidRPr="0040538C">
        <w:rPr>
          <w:rFonts w:cs="Calibri"/>
          <w:bCs/>
          <w:sz w:val="24"/>
          <w:szCs w:val="24"/>
        </w:rPr>
        <w:t xml:space="preserve">understand the role of planners in influencing environmental sustainability, economic resilience and social equity in cities and towns, and be able to identify the main trends and factors shaping the development of local, national, </w:t>
      </w:r>
      <w:proofErr w:type="gramStart"/>
      <w:r w:rsidRPr="0040538C">
        <w:rPr>
          <w:rFonts w:cs="Calibri"/>
          <w:bCs/>
          <w:sz w:val="24"/>
          <w:szCs w:val="24"/>
        </w:rPr>
        <w:t>regional</w:t>
      </w:r>
      <w:proofErr w:type="gramEnd"/>
      <w:r w:rsidRPr="0040538C">
        <w:rPr>
          <w:rFonts w:cs="Calibri"/>
          <w:bCs/>
          <w:sz w:val="24"/>
          <w:szCs w:val="24"/>
        </w:rPr>
        <w:t xml:space="preserve"> and global communities.</w:t>
      </w:r>
      <w:r>
        <w:rPr>
          <w:rFonts w:cs="Calibri"/>
          <w:bCs/>
          <w:sz w:val="24"/>
          <w:szCs w:val="24"/>
        </w:rPr>
        <w:t xml:space="preserve"> </w:t>
      </w:r>
      <w:r>
        <w:rPr>
          <w:rFonts w:cs="Calibri"/>
          <w:bCs/>
          <w:sz w:val="24"/>
          <w:szCs w:val="24"/>
        </w:rPr>
        <w:br/>
      </w:r>
    </w:p>
    <w:p w14:paraId="03224716" w14:textId="27840AAD" w:rsidR="0040538C" w:rsidRPr="0040538C" w:rsidRDefault="0040538C" w:rsidP="0040538C">
      <w:pPr>
        <w:pStyle w:val="NoSpacing"/>
        <w:rPr>
          <w:rFonts w:cs="Calibri"/>
          <w:b/>
          <w:sz w:val="24"/>
          <w:szCs w:val="24"/>
        </w:rPr>
      </w:pPr>
      <w:r>
        <w:rPr>
          <w:rFonts w:cs="Calibri"/>
          <w:b/>
          <w:sz w:val="24"/>
          <w:szCs w:val="24"/>
        </w:rPr>
        <w:t xml:space="preserve">Find out more by browsing </w:t>
      </w:r>
      <w:hyperlink r:id="rId28" w:history="1">
        <w:r>
          <w:rPr>
            <w:rStyle w:val="Hyperlink"/>
            <w:rFonts w:cs="Calibri"/>
            <w:b/>
            <w:sz w:val="24"/>
            <w:szCs w:val="24"/>
          </w:rPr>
          <w:t>Urban Planning at Melbourne</w:t>
        </w:r>
      </w:hyperlink>
      <w:r>
        <w:rPr>
          <w:rFonts w:cs="Calibri"/>
          <w:b/>
          <w:sz w:val="24"/>
          <w:szCs w:val="24"/>
        </w:rPr>
        <w:t xml:space="preserve">.  </w:t>
      </w:r>
      <w:r w:rsidRPr="0040538C">
        <w:rPr>
          <w:rFonts w:cs="Calibri"/>
          <w:b/>
          <w:sz w:val="24"/>
          <w:szCs w:val="24"/>
        </w:rPr>
        <w:t>The undergraduate major in Urban Planning is a pre-professional course designed to provide the basic skills and theoretical knowledge to undertake an accredited professional program such as the </w:t>
      </w:r>
      <w:hyperlink r:id="rId29" w:history="1">
        <w:r w:rsidRPr="0040538C">
          <w:rPr>
            <w:rStyle w:val="Hyperlink"/>
            <w:rFonts w:cs="Calibri"/>
            <w:b/>
            <w:sz w:val="24"/>
            <w:szCs w:val="24"/>
          </w:rPr>
          <w:t>Master of Urban Planning</w:t>
        </w:r>
      </w:hyperlink>
      <w:r w:rsidRPr="0040538C">
        <w:rPr>
          <w:rFonts w:cs="Calibri"/>
          <w:b/>
          <w:sz w:val="24"/>
          <w:szCs w:val="24"/>
        </w:rPr>
        <w:t>.</w:t>
      </w:r>
    </w:p>
    <w:p w14:paraId="4E72CCC8" w14:textId="124849F8" w:rsidR="000C2391" w:rsidRPr="000C2391" w:rsidRDefault="000C2391" w:rsidP="000C2391">
      <w:pPr>
        <w:jc w:val="center"/>
        <w:rPr>
          <w:rFonts w:ascii="Calibri" w:hAnsi="Calibri" w:cs="Calibri"/>
          <w:b/>
          <w:bCs/>
          <w:sz w:val="10"/>
          <w:szCs w:val="10"/>
          <w:u w:val="single"/>
        </w:rPr>
      </w:pPr>
      <w:r w:rsidRPr="00952330">
        <w:rPr>
          <w:rFonts w:ascii="Calibri" w:hAnsi="Calibri" w:cs="Calibri"/>
          <w:b/>
          <w:noProof/>
          <w:sz w:val="28"/>
          <w:u w:val="single"/>
          <w:lang w:eastAsia="zh-CN"/>
        </w:rPr>
        <w:lastRenderedPageBreak/>
        <w:drawing>
          <wp:inline distT="0" distB="0" distL="0" distR="0" wp14:anchorId="6602FEDF" wp14:editId="1BF88C94">
            <wp:extent cx="723900" cy="723900"/>
            <wp:effectExtent l="0" t="0" r="0" b="0"/>
            <wp:docPr id="9" name="Picture 83" descr="A cartoon of a d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3" descr="A cartoon of a duck&#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952330">
        <w:rPr>
          <w:rFonts w:ascii="Calibri" w:hAnsi="Calibri" w:cs="Calibri"/>
          <w:b/>
          <w:sz w:val="28"/>
          <w:u w:val="single"/>
        </w:rPr>
        <w:t>ANIMA</w:t>
      </w:r>
      <w:bookmarkStart w:id="2" w:name="Animation"/>
      <w:bookmarkEnd w:id="2"/>
      <w:r w:rsidRPr="00952330">
        <w:rPr>
          <w:rFonts w:ascii="Calibri" w:hAnsi="Calibri" w:cs="Calibri"/>
          <w:b/>
          <w:sz w:val="28"/>
          <w:u w:val="single"/>
        </w:rPr>
        <w:t xml:space="preserve">TION &amp; GAMING DEGREES </w:t>
      </w:r>
      <w:r>
        <w:rPr>
          <w:rFonts w:ascii="Calibri" w:hAnsi="Calibri" w:cs="Calibri"/>
          <w:b/>
          <w:sz w:val="28"/>
          <w:u w:val="single"/>
        </w:rPr>
        <w:t xml:space="preserve">IN VICTORIA IN </w:t>
      </w:r>
      <w:r w:rsidRPr="00952330">
        <w:rPr>
          <w:rFonts w:ascii="Calibri" w:hAnsi="Calibri" w:cs="Calibri"/>
          <w:b/>
          <w:sz w:val="28"/>
          <w:u w:val="single"/>
        </w:rPr>
        <w:t xml:space="preserve">2024 </w:t>
      </w:r>
      <w:r w:rsidRPr="00952330">
        <w:rPr>
          <w:rFonts w:ascii="Calibri" w:hAnsi="Calibri" w:cs="Calibri"/>
          <w:b/>
          <w:noProof/>
          <w:sz w:val="28"/>
          <w:u w:val="single"/>
          <w:lang w:eastAsia="zh-CN"/>
        </w:rPr>
        <w:drawing>
          <wp:inline distT="0" distB="0" distL="0" distR="0" wp14:anchorId="2935C75C" wp14:editId="0F2DD3BD">
            <wp:extent cx="723900" cy="723900"/>
            <wp:effectExtent l="0" t="0" r="0" b="0"/>
            <wp:docPr id="1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952330">
        <w:rPr>
          <w:rFonts w:ascii="Calibri" w:hAnsi="Calibri" w:cs="Calibri"/>
          <w:b/>
          <w:sz w:val="28"/>
          <w:u w:val="single"/>
        </w:rPr>
        <w:br/>
      </w:r>
      <w:r w:rsidRPr="00952330">
        <w:rPr>
          <w:rFonts w:ascii="Calibri" w:hAnsi="Calibri" w:cs="Calibri"/>
        </w:rPr>
        <w:t xml:space="preserve">Animation and games design courses offer students a range of opportunities to be exposed to, and develop their skills in, subjects such as </w:t>
      </w:r>
      <w:r w:rsidRPr="00952330">
        <w:rPr>
          <w:rFonts w:ascii="Calibri" w:hAnsi="Calibri" w:cs="Calibri"/>
          <w:i/>
        </w:rPr>
        <w:t xml:space="preserve">computer coding, computer programming, broad IT skills, </w:t>
      </w:r>
      <w:proofErr w:type="gramStart"/>
      <w:r w:rsidRPr="00952330">
        <w:rPr>
          <w:rFonts w:ascii="Calibri" w:hAnsi="Calibri" w:cs="Calibri"/>
          <w:i/>
        </w:rPr>
        <w:t>simulation</w:t>
      </w:r>
      <w:proofErr w:type="gramEnd"/>
      <w:r>
        <w:rPr>
          <w:rFonts w:ascii="Calibri" w:hAnsi="Calibri" w:cs="Calibri"/>
          <w:i/>
        </w:rPr>
        <w:t xml:space="preserve"> </w:t>
      </w:r>
      <w:r w:rsidRPr="00952330">
        <w:rPr>
          <w:rFonts w:ascii="Calibri" w:hAnsi="Calibri" w:cs="Calibri"/>
          <w:i/>
        </w:rPr>
        <w:t>and modelling, computer-based 2D and 3D, interactive information design, and virtual environments,</w:t>
      </w:r>
      <w:r w:rsidRPr="00952330">
        <w:rPr>
          <w:rFonts w:ascii="Calibri" w:hAnsi="Calibri" w:cs="Calibri"/>
        </w:rPr>
        <w:t xml:space="preserve"> to name but a few.  Below is a list of some undergraduate degrees offered at Victorian Universities.   </w:t>
      </w:r>
      <w:r w:rsidRPr="00952330">
        <w:rPr>
          <w:rFonts w:ascii="Calibri" w:hAnsi="Calibri" w:cs="Calibri"/>
        </w:rPr>
        <w:br/>
      </w:r>
      <w:r w:rsidRPr="00952330">
        <w:rPr>
          <w:rFonts w:ascii="Calibri" w:hAnsi="Calibri" w:cs="Calibri"/>
          <w:b/>
          <w:bCs/>
        </w:rPr>
        <w:t>For a comprehensive list of courses (including the many double-degree options) on offer at Victorian universities, TAFEs, and Private Providers, visit</w:t>
      </w:r>
      <w:r w:rsidRPr="00952330">
        <w:rPr>
          <w:rFonts w:ascii="Calibri" w:hAnsi="Calibri" w:cs="Calibri"/>
          <w:bCs/>
        </w:rPr>
        <w:t xml:space="preserve"> </w:t>
      </w:r>
      <w:hyperlink r:id="rId31" w:history="1">
        <w:r w:rsidRPr="00952330">
          <w:rPr>
            <w:rStyle w:val="Hyperlink"/>
            <w:rFonts w:ascii="Calibri" w:hAnsi="Calibri" w:cs="Calibri"/>
            <w:b/>
            <w:bCs/>
          </w:rPr>
          <w:t>VTAC</w:t>
        </w:r>
      </w:hyperlink>
      <w:r w:rsidRPr="00952330">
        <w:rPr>
          <w:rFonts w:ascii="Calibri" w:hAnsi="Calibri" w:cs="Calibri"/>
          <w:b/>
          <w:bCs/>
          <w:u w:val="single"/>
        </w:rPr>
        <w:t>.</w:t>
      </w:r>
      <w:r w:rsidRPr="0054319B">
        <w:rPr>
          <w:rFonts w:ascii="Calibri" w:hAnsi="Calibri" w:cs="Calibri"/>
          <w:b/>
          <w:bCs/>
          <w:highlight w:val="yellow"/>
          <w:u w:val="single"/>
        </w:rPr>
        <w:br/>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401"/>
        <w:gridCol w:w="2427"/>
        <w:gridCol w:w="4756"/>
      </w:tblGrid>
      <w:tr w:rsidR="000C2391" w:rsidRPr="0054319B" w14:paraId="7361D990" w14:textId="77777777" w:rsidTr="000C2391">
        <w:trPr>
          <w:trHeight w:val="254"/>
          <w:jc w:val="center"/>
        </w:trPr>
        <w:tc>
          <w:tcPr>
            <w:tcW w:w="1474" w:type="dxa"/>
            <w:shd w:val="clear" w:color="auto" w:fill="92D050"/>
          </w:tcPr>
          <w:p w14:paraId="252706B3" w14:textId="77777777" w:rsidR="000C2391" w:rsidRPr="0029238C" w:rsidRDefault="000C2391" w:rsidP="004E3648">
            <w:pPr>
              <w:jc w:val="center"/>
              <w:rPr>
                <w:rFonts w:ascii="Calibri" w:hAnsi="Calibri"/>
                <w:b/>
                <w:sz w:val="22"/>
                <w:lang w:eastAsia="zh-CN"/>
              </w:rPr>
            </w:pPr>
            <w:r w:rsidRPr="0029238C">
              <w:rPr>
                <w:rFonts w:ascii="Calibri" w:hAnsi="Calibri"/>
                <w:b/>
                <w:sz w:val="22"/>
                <w:lang w:eastAsia="zh-CN"/>
              </w:rPr>
              <w:t>INSTITUTION</w:t>
            </w:r>
          </w:p>
        </w:tc>
        <w:tc>
          <w:tcPr>
            <w:tcW w:w="2401" w:type="dxa"/>
            <w:shd w:val="clear" w:color="auto" w:fill="92D050"/>
          </w:tcPr>
          <w:p w14:paraId="6538C609" w14:textId="77777777" w:rsidR="000C2391" w:rsidRPr="0029238C" w:rsidRDefault="000C2391" w:rsidP="004E3648">
            <w:pPr>
              <w:jc w:val="center"/>
              <w:rPr>
                <w:rFonts w:ascii="Calibri" w:hAnsi="Calibri"/>
                <w:b/>
                <w:sz w:val="22"/>
                <w:lang w:eastAsia="zh-CN"/>
              </w:rPr>
            </w:pPr>
            <w:r w:rsidRPr="0029238C">
              <w:rPr>
                <w:rFonts w:ascii="Calibri" w:hAnsi="Calibri"/>
                <w:b/>
                <w:sz w:val="22"/>
                <w:lang w:eastAsia="zh-CN"/>
              </w:rPr>
              <w:t>COURSE NAME</w:t>
            </w:r>
          </w:p>
        </w:tc>
        <w:tc>
          <w:tcPr>
            <w:tcW w:w="2427" w:type="dxa"/>
            <w:shd w:val="clear" w:color="auto" w:fill="92D050"/>
          </w:tcPr>
          <w:p w14:paraId="4E122C46" w14:textId="77777777" w:rsidR="000C2391" w:rsidRPr="0029238C" w:rsidRDefault="000C2391" w:rsidP="004E3648">
            <w:pPr>
              <w:jc w:val="center"/>
              <w:rPr>
                <w:rFonts w:ascii="Calibri" w:hAnsi="Calibri"/>
                <w:b/>
                <w:sz w:val="22"/>
                <w:lang w:eastAsia="zh-CN"/>
              </w:rPr>
            </w:pPr>
            <w:r w:rsidRPr="0029238C">
              <w:rPr>
                <w:rFonts w:ascii="Calibri" w:hAnsi="Calibri"/>
                <w:b/>
                <w:sz w:val="22"/>
                <w:lang w:eastAsia="zh-CN"/>
              </w:rPr>
              <w:t>VCE PREREQ’S</w:t>
            </w:r>
          </w:p>
        </w:tc>
        <w:tc>
          <w:tcPr>
            <w:tcW w:w="4756" w:type="dxa"/>
            <w:shd w:val="clear" w:color="auto" w:fill="92D050"/>
          </w:tcPr>
          <w:p w14:paraId="2A394D93" w14:textId="77777777" w:rsidR="000C2391" w:rsidRPr="0029238C" w:rsidRDefault="000C2391" w:rsidP="004E3648">
            <w:pPr>
              <w:jc w:val="center"/>
              <w:rPr>
                <w:rFonts w:ascii="Calibri" w:hAnsi="Calibri"/>
                <w:b/>
                <w:sz w:val="22"/>
                <w:lang w:eastAsia="zh-CN"/>
              </w:rPr>
            </w:pPr>
            <w:r w:rsidRPr="0029238C">
              <w:rPr>
                <w:rFonts w:ascii="Calibri" w:hAnsi="Calibri"/>
                <w:b/>
                <w:sz w:val="22"/>
                <w:lang w:eastAsia="zh-CN"/>
              </w:rPr>
              <w:t>MAJOR STUDIES IN 2024</w:t>
            </w:r>
          </w:p>
        </w:tc>
      </w:tr>
      <w:tr w:rsidR="000C2391" w:rsidRPr="0054319B" w14:paraId="35296517" w14:textId="77777777" w:rsidTr="000C2391">
        <w:trPr>
          <w:trHeight w:val="912"/>
          <w:jc w:val="center"/>
        </w:trPr>
        <w:tc>
          <w:tcPr>
            <w:tcW w:w="1474" w:type="dxa"/>
            <w:shd w:val="clear" w:color="auto" w:fill="2F5496"/>
          </w:tcPr>
          <w:p w14:paraId="0BE46F5D" w14:textId="77777777" w:rsidR="000C2391" w:rsidRPr="0029238C" w:rsidRDefault="000C2391" w:rsidP="004E3648">
            <w:pPr>
              <w:jc w:val="center"/>
              <w:rPr>
                <w:rFonts w:ascii="Calibri" w:hAnsi="Calibri"/>
                <w:b/>
                <w:color w:val="FFFFFF"/>
                <w:sz w:val="22"/>
                <w:lang w:eastAsia="zh-CN"/>
              </w:rPr>
            </w:pPr>
            <w:r w:rsidRPr="0029238C">
              <w:rPr>
                <w:rFonts w:ascii="Calibri" w:hAnsi="Calibri"/>
                <w:b/>
                <w:color w:val="FFFFFF"/>
                <w:sz w:val="22"/>
                <w:lang w:eastAsia="zh-CN"/>
              </w:rPr>
              <w:t>DEAKIN</w:t>
            </w:r>
          </w:p>
        </w:tc>
        <w:tc>
          <w:tcPr>
            <w:tcW w:w="2401" w:type="dxa"/>
            <w:shd w:val="clear" w:color="auto" w:fill="auto"/>
          </w:tcPr>
          <w:p w14:paraId="5590F49D" w14:textId="77777777" w:rsidR="000C2391" w:rsidRPr="009C5739" w:rsidRDefault="000C2391" w:rsidP="004E3648">
            <w:pPr>
              <w:jc w:val="center"/>
              <w:rPr>
                <w:rFonts w:ascii="Calibri" w:hAnsi="Calibri"/>
                <w:sz w:val="22"/>
                <w:lang w:eastAsia="zh-CN"/>
              </w:rPr>
            </w:pPr>
            <w:r w:rsidRPr="009C5739">
              <w:rPr>
                <w:rFonts w:ascii="Calibri" w:hAnsi="Calibri"/>
                <w:sz w:val="22"/>
                <w:lang w:eastAsia="zh-CN"/>
              </w:rPr>
              <w:t>Film, Television &amp; Animation</w:t>
            </w:r>
          </w:p>
          <w:p w14:paraId="3504FCDC" w14:textId="77777777" w:rsidR="000C2391" w:rsidRPr="0054319B" w:rsidRDefault="000C2391" w:rsidP="004E3648">
            <w:pPr>
              <w:jc w:val="center"/>
              <w:rPr>
                <w:rFonts w:ascii="Calibri" w:hAnsi="Calibri"/>
                <w:sz w:val="22"/>
                <w:highlight w:val="yellow"/>
                <w:lang w:eastAsia="zh-CN"/>
              </w:rPr>
            </w:pPr>
          </w:p>
        </w:tc>
        <w:tc>
          <w:tcPr>
            <w:tcW w:w="2427" w:type="dxa"/>
            <w:shd w:val="clear" w:color="auto" w:fill="auto"/>
          </w:tcPr>
          <w:p w14:paraId="1B6544E3" w14:textId="77777777" w:rsidR="000C2391" w:rsidRPr="009C5739" w:rsidRDefault="000C2391" w:rsidP="004E3648">
            <w:pPr>
              <w:rPr>
                <w:rFonts w:ascii="Calibri" w:hAnsi="Calibri"/>
                <w:sz w:val="16"/>
                <w:lang w:eastAsia="zh-CN"/>
              </w:rPr>
            </w:pPr>
            <w:r w:rsidRPr="009C5739">
              <w:rPr>
                <w:rFonts w:ascii="Calibri" w:hAnsi="Calibri"/>
                <w:sz w:val="16"/>
                <w:lang w:eastAsia="zh-CN"/>
              </w:rPr>
              <w:t>Units 3 and 4: a study score of at least 25 in English (EAL) or at least 20 in English other than EAL.</w:t>
            </w:r>
          </w:p>
          <w:p w14:paraId="17107E73" w14:textId="77777777" w:rsidR="000C2391" w:rsidRPr="009C5739" w:rsidRDefault="000C2391" w:rsidP="004E3648">
            <w:pPr>
              <w:rPr>
                <w:rFonts w:ascii="Calibri" w:hAnsi="Calibri"/>
                <w:sz w:val="16"/>
                <w:lang w:eastAsia="zh-CN"/>
              </w:rPr>
            </w:pPr>
          </w:p>
        </w:tc>
        <w:tc>
          <w:tcPr>
            <w:tcW w:w="4756" w:type="dxa"/>
            <w:shd w:val="clear" w:color="auto" w:fill="auto"/>
          </w:tcPr>
          <w:p w14:paraId="6ECFCE47" w14:textId="77777777" w:rsidR="000C2391" w:rsidRPr="009C5739" w:rsidRDefault="000C2391" w:rsidP="004E3648">
            <w:pPr>
              <w:rPr>
                <w:rFonts w:ascii="Calibri" w:hAnsi="Calibri"/>
                <w:sz w:val="16"/>
                <w:lang w:eastAsia="zh-CN"/>
              </w:rPr>
            </w:pPr>
            <w:r w:rsidRPr="009C5739">
              <w:rPr>
                <w:rFonts w:ascii="Calibri" w:hAnsi="Calibri"/>
                <w:sz w:val="16"/>
                <w:lang w:eastAsia="zh-CN"/>
              </w:rPr>
              <w:t>Animation (major only), Animation and motion graphic (minor only), Film studies (minor only), Producing screen content, Screen content production (minor only), Screen production (major only), Scriptwriting (minor only), Visual effects and virtual production (minor only)</w:t>
            </w:r>
            <w:r>
              <w:rPr>
                <w:rFonts w:ascii="Calibri" w:hAnsi="Calibri"/>
                <w:sz w:val="16"/>
                <w:lang w:eastAsia="zh-CN"/>
              </w:rPr>
              <w:t>.</w:t>
            </w:r>
          </w:p>
        </w:tc>
      </w:tr>
      <w:tr w:rsidR="000C2391" w:rsidRPr="0054319B" w14:paraId="4D383F2E" w14:textId="77777777" w:rsidTr="000C2391">
        <w:trPr>
          <w:trHeight w:val="1097"/>
          <w:jc w:val="center"/>
        </w:trPr>
        <w:tc>
          <w:tcPr>
            <w:tcW w:w="1474" w:type="dxa"/>
            <w:shd w:val="clear" w:color="auto" w:fill="2F5496"/>
          </w:tcPr>
          <w:p w14:paraId="10180165" w14:textId="77777777" w:rsidR="000C2391" w:rsidRPr="0029238C" w:rsidRDefault="000C2391" w:rsidP="004E3648">
            <w:pPr>
              <w:jc w:val="center"/>
              <w:rPr>
                <w:rFonts w:ascii="Calibri" w:hAnsi="Calibri"/>
                <w:b/>
                <w:color w:val="FFFFFF"/>
                <w:sz w:val="22"/>
                <w:lang w:eastAsia="zh-CN"/>
              </w:rPr>
            </w:pPr>
            <w:r w:rsidRPr="0029238C">
              <w:rPr>
                <w:rFonts w:ascii="Calibri" w:hAnsi="Calibri"/>
                <w:b/>
                <w:color w:val="FFFFFF"/>
                <w:sz w:val="22"/>
                <w:lang w:eastAsia="zh-CN"/>
              </w:rPr>
              <w:t>MONASH</w:t>
            </w:r>
          </w:p>
        </w:tc>
        <w:tc>
          <w:tcPr>
            <w:tcW w:w="2401" w:type="dxa"/>
            <w:shd w:val="clear" w:color="auto" w:fill="auto"/>
          </w:tcPr>
          <w:p w14:paraId="03FA3199" w14:textId="77777777" w:rsidR="000C2391" w:rsidRPr="0054319B" w:rsidRDefault="000C2391" w:rsidP="004E3648">
            <w:pPr>
              <w:jc w:val="center"/>
              <w:rPr>
                <w:rFonts w:ascii="Calibri" w:hAnsi="Calibri"/>
                <w:sz w:val="22"/>
                <w:highlight w:val="yellow"/>
                <w:lang w:eastAsia="zh-CN"/>
              </w:rPr>
            </w:pPr>
            <w:r w:rsidRPr="009C5739">
              <w:rPr>
                <w:rFonts w:ascii="Calibri" w:hAnsi="Calibri"/>
                <w:sz w:val="22"/>
                <w:lang w:eastAsia="zh-CN"/>
              </w:rPr>
              <w:t>Design</w:t>
            </w:r>
          </w:p>
        </w:tc>
        <w:tc>
          <w:tcPr>
            <w:tcW w:w="2427" w:type="dxa"/>
            <w:shd w:val="clear" w:color="auto" w:fill="auto"/>
          </w:tcPr>
          <w:p w14:paraId="304D6D03" w14:textId="77777777" w:rsidR="000C2391" w:rsidRPr="009C5739" w:rsidRDefault="000C2391" w:rsidP="004E3648">
            <w:pPr>
              <w:rPr>
                <w:rFonts w:ascii="Calibri" w:hAnsi="Calibri"/>
                <w:sz w:val="16"/>
                <w:lang w:eastAsia="zh-CN"/>
              </w:rPr>
            </w:pPr>
            <w:r w:rsidRPr="009C5739">
              <w:rPr>
                <w:rFonts w:ascii="Calibri" w:hAnsi="Calibri"/>
                <w:sz w:val="16"/>
                <w:szCs w:val="18"/>
                <w:lang w:eastAsia="zh-CN"/>
              </w:rPr>
              <w:t>Units 3 and 4: a study score of at least 27 in English (EAL) or at least 25 in English other than EAL.</w:t>
            </w:r>
          </w:p>
        </w:tc>
        <w:tc>
          <w:tcPr>
            <w:tcW w:w="4756" w:type="dxa"/>
            <w:shd w:val="clear" w:color="auto" w:fill="auto"/>
          </w:tcPr>
          <w:p w14:paraId="255BC8EF" w14:textId="77777777" w:rsidR="000C2391" w:rsidRPr="009C5739" w:rsidRDefault="000C2391" w:rsidP="004E3648">
            <w:pPr>
              <w:rPr>
                <w:rFonts w:ascii="Calibri" w:hAnsi="Calibri"/>
                <w:sz w:val="16"/>
                <w:lang w:eastAsia="zh-CN"/>
              </w:rPr>
            </w:pPr>
            <w:r w:rsidRPr="009C5739">
              <w:rPr>
                <w:rFonts w:ascii="Calibri" w:hAnsi="Calibri"/>
                <w:sz w:val="16"/>
                <w:lang w:eastAsia="zh-CN"/>
              </w:rPr>
              <w:t>Animation, Automotive design, Collaborative design, Communication design, Computer-aided design (CAD), Design, Design theory, Digital media, Furniture design, Graphic design, Illustration, Industrial design, Interactive design, Materials technology, Product design and development, Spatial design, Transportation design, Visual communication, Web design.</w:t>
            </w:r>
          </w:p>
        </w:tc>
      </w:tr>
      <w:tr w:rsidR="000C2391" w:rsidRPr="0054319B" w14:paraId="0C577D0A" w14:textId="77777777" w:rsidTr="000C2391">
        <w:trPr>
          <w:trHeight w:val="726"/>
          <w:jc w:val="center"/>
        </w:trPr>
        <w:tc>
          <w:tcPr>
            <w:tcW w:w="1474" w:type="dxa"/>
            <w:vMerge w:val="restart"/>
            <w:shd w:val="clear" w:color="auto" w:fill="2F5496"/>
          </w:tcPr>
          <w:p w14:paraId="01DCB70F" w14:textId="77777777" w:rsidR="000C2391" w:rsidRPr="0029238C" w:rsidRDefault="000C2391" w:rsidP="004E3648">
            <w:pPr>
              <w:jc w:val="center"/>
              <w:rPr>
                <w:rFonts w:ascii="Calibri" w:hAnsi="Calibri"/>
                <w:b/>
                <w:color w:val="FFFFFF"/>
                <w:sz w:val="22"/>
                <w:lang w:eastAsia="zh-CN"/>
              </w:rPr>
            </w:pPr>
            <w:r w:rsidRPr="0029238C">
              <w:rPr>
                <w:rFonts w:ascii="Calibri" w:hAnsi="Calibri"/>
                <w:b/>
                <w:color w:val="FFFFFF"/>
                <w:sz w:val="22"/>
                <w:lang w:eastAsia="zh-CN"/>
              </w:rPr>
              <w:t>RMIT</w:t>
            </w:r>
          </w:p>
        </w:tc>
        <w:tc>
          <w:tcPr>
            <w:tcW w:w="2401" w:type="dxa"/>
            <w:shd w:val="clear" w:color="auto" w:fill="auto"/>
          </w:tcPr>
          <w:p w14:paraId="0B676AC8" w14:textId="77777777" w:rsidR="000C2391" w:rsidRPr="00C06AD4" w:rsidRDefault="000C2391" w:rsidP="004E3648">
            <w:pPr>
              <w:jc w:val="center"/>
              <w:rPr>
                <w:rFonts w:ascii="Calibri" w:hAnsi="Calibri"/>
                <w:sz w:val="22"/>
                <w:lang w:eastAsia="zh-CN"/>
              </w:rPr>
            </w:pPr>
            <w:r w:rsidRPr="00C06AD4">
              <w:rPr>
                <w:rFonts w:ascii="Calibri" w:hAnsi="Calibri"/>
                <w:sz w:val="22"/>
                <w:lang w:eastAsia="zh-CN"/>
              </w:rPr>
              <w:t>Animation and Interactive Media</w:t>
            </w:r>
          </w:p>
        </w:tc>
        <w:tc>
          <w:tcPr>
            <w:tcW w:w="2427" w:type="dxa"/>
            <w:shd w:val="clear" w:color="auto" w:fill="auto"/>
          </w:tcPr>
          <w:p w14:paraId="19783435" w14:textId="77777777" w:rsidR="000C2391" w:rsidRPr="00C06AD4" w:rsidRDefault="000C2391" w:rsidP="004E3648">
            <w:pPr>
              <w:rPr>
                <w:rFonts w:ascii="Calibri" w:hAnsi="Calibri"/>
                <w:sz w:val="16"/>
                <w:szCs w:val="18"/>
                <w:lang w:eastAsia="zh-CN"/>
              </w:rPr>
            </w:pPr>
            <w:r w:rsidRPr="00C06AD4">
              <w:rPr>
                <w:rFonts w:ascii="Calibri" w:hAnsi="Calibri"/>
                <w:sz w:val="16"/>
                <w:szCs w:val="18"/>
                <w:lang w:eastAsia="zh-CN"/>
              </w:rPr>
              <w:t>Units 3 and 4: a study score of at least 30 in English (EAL) or at least 25 in English other than EAL.</w:t>
            </w:r>
          </w:p>
        </w:tc>
        <w:tc>
          <w:tcPr>
            <w:tcW w:w="4756" w:type="dxa"/>
            <w:shd w:val="clear" w:color="auto" w:fill="auto"/>
          </w:tcPr>
          <w:p w14:paraId="33778C8B" w14:textId="77777777" w:rsidR="000C2391" w:rsidRPr="00C06AD4" w:rsidRDefault="000C2391" w:rsidP="004E3648">
            <w:pPr>
              <w:rPr>
                <w:rFonts w:ascii="Calibri" w:hAnsi="Calibri"/>
                <w:sz w:val="16"/>
                <w:szCs w:val="18"/>
                <w:lang w:eastAsia="zh-CN"/>
              </w:rPr>
            </w:pPr>
            <w:r w:rsidRPr="00C06AD4">
              <w:rPr>
                <w:rFonts w:ascii="Calibri" w:hAnsi="Calibri"/>
                <w:sz w:val="16"/>
                <w:szCs w:val="18"/>
                <w:lang w:eastAsia="zh-CN"/>
              </w:rPr>
              <w:t>2D animation, 3D animation, Animation, Animation design and production, Computer animation, Concept art, Design, Digital arts, Illustration, Imaging and sound, Motion design, Projection mapping, Visual effects.</w:t>
            </w:r>
          </w:p>
        </w:tc>
      </w:tr>
      <w:tr w:rsidR="000C2391" w:rsidRPr="0054319B" w14:paraId="3D8ACAC4" w14:textId="77777777" w:rsidTr="000C2391">
        <w:trPr>
          <w:trHeight w:val="135"/>
          <w:jc w:val="center"/>
        </w:trPr>
        <w:tc>
          <w:tcPr>
            <w:tcW w:w="1474" w:type="dxa"/>
            <w:vMerge/>
            <w:shd w:val="clear" w:color="auto" w:fill="2F5496"/>
          </w:tcPr>
          <w:p w14:paraId="13649DDF" w14:textId="77777777" w:rsidR="000C2391" w:rsidRPr="0029238C" w:rsidRDefault="000C2391" w:rsidP="004E3648">
            <w:pPr>
              <w:jc w:val="center"/>
              <w:rPr>
                <w:rFonts w:ascii="Calibri" w:hAnsi="Calibri"/>
                <w:b/>
                <w:color w:val="FFFFFF"/>
                <w:sz w:val="22"/>
                <w:lang w:eastAsia="zh-CN"/>
              </w:rPr>
            </w:pPr>
          </w:p>
        </w:tc>
        <w:tc>
          <w:tcPr>
            <w:tcW w:w="2401" w:type="dxa"/>
            <w:shd w:val="clear" w:color="auto" w:fill="auto"/>
          </w:tcPr>
          <w:p w14:paraId="16093CCF" w14:textId="77777777" w:rsidR="000C2391" w:rsidRPr="00C06AD4" w:rsidRDefault="000C2391" w:rsidP="004E3648">
            <w:pPr>
              <w:jc w:val="center"/>
              <w:rPr>
                <w:rFonts w:ascii="Calibri" w:hAnsi="Calibri"/>
                <w:sz w:val="22"/>
                <w:lang w:eastAsia="zh-CN"/>
              </w:rPr>
            </w:pPr>
            <w:r w:rsidRPr="00C06AD4">
              <w:rPr>
                <w:rFonts w:ascii="Calibri" w:hAnsi="Calibri"/>
                <w:sz w:val="22"/>
                <w:lang w:eastAsia="zh-CN"/>
              </w:rPr>
              <w:t>Games Design</w:t>
            </w:r>
          </w:p>
        </w:tc>
        <w:tc>
          <w:tcPr>
            <w:tcW w:w="2427" w:type="dxa"/>
            <w:shd w:val="clear" w:color="auto" w:fill="auto"/>
          </w:tcPr>
          <w:p w14:paraId="7B6E8349" w14:textId="77777777" w:rsidR="000C2391" w:rsidRPr="00C06AD4" w:rsidRDefault="000C2391" w:rsidP="004E3648">
            <w:pPr>
              <w:rPr>
                <w:rFonts w:ascii="Calibri" w:hAnsi="Calibri"/>
                <w:sz w:val="16"/>
                <w:szCs w:val="18"/>
                <w:lang w:eastAsia="zh-CN"/>
              </w:rPr>
            </w:pPr>
            <w:r w:rsidRPr="00C06AD4">
              <w:rPr>
                <w:rFonts w:ascii="Calibri" w:hAnsi="Calibri"/>
                <w:sz w:val="16"/>
                <w:szCs w:val="18"/>
                <w:lang w:eastAsia="zh-CN"/>
              </w:rPr>
              <w:t>Units 3 and 4: a study score of at least 30 in English (EAL) or at least 25 in English other than EAL.</w:t>
            </w:r>
          </w:p>
        </w:tc>
        <w:tc>
          <w:tcPr>
            <w:tcW w:w="4756" w:type="dxa"/>
            <w:shd w:val="clear" w:color="auto" w:fill="auto"/>
          </w:tcPr>
          <w:p w14:paraId="59AF84E9" w14:textId="77777777" w:rsidR="000C2391" w:rsidRPr="00C06AD4" w:rsidRDefault="000C2391" w:rsidP="004E3648">
            <w:pPr>
              <w:rPr>
                <w:rFonts w:ascii="Calibri" w:hAnsi="Calibri"/>
                <w:sz w:val="16"/>
                <w:szCs w:val="18"/>
                <w:lang w:eastAsia="zh-CN"/>
              </w:rPr>
            </w:pPr>
            <w:r w:rsidRPr="00C06AD4">
              <w:rPr>
                <w:rFonts w:ascii="Calibri" w:hAnsi="Calibri"/>
                <w:sz w:val="16"/>
                <w:szCs w:val="18"/>
                <w:lang w:eastAsia="zh-CN"/>
              </w:rPr>
              <w:t>3D design, Arts (contemporary), Digital art and design, Entrepreneurship, Games design, Games development, Games programming, Games technology, Graphic design.</w:t>
            </w:r>
          </w:p>
        </w:tc>
      </w:tr>
      <w:tr w:rsidR="000C2391" w:rsidRPr="0054319B" w14:paraId="1803950D" w14:textId="77777777" w:rsidTr="000C2391">
        <w:trPr>
          <w:trHeight w:val="1097"/>
          <w:jc w:val="center"/>
        </w:trPr>
        <w:tc>
          <w:tcPr>
            <w:tcW w:w="1474" w:type="dxa"/>
            <w:vMerge w:val="restart"/>
            <w:shd w:val="clear" w:color="auto" w:fill="2F5496"/>
          </w:tcPr>
          <w:p w14:paraId="10919F2B" w14:textId="77777777" w:rsidR="000C2391" w:rsidRPr="0029238C" w:rsidRDefault="000C2391" w:rsidP="004E3648">
            <w:pPr>
              <w:jc w:val="center"/>
              <w:rPr>
                <w:rFonts w:ascii="Calibri" w:hAnsi="Calibri"/>
                <w:b/>
                <w:color w:val="FFFFFF"/>
                <w:sz w:val="22"/>
                <w:lang w:eastAsia="zh-CN"/>
              </w:rPr>
            </w:pPr>
            <w:r w:rsidRPr="0029238C">
              <w:rPr>
                <w:rFonts w:ascii="Calibri" w:hAnsi="Calibri"/>
                <w:b/>
                <w:color w:val="FFFFFF"/>
                <w:sz w:val="22"/>
                <w:lang w:eastAsia="zh-CN"/>
              </w:rPr>
              <w:t>SWINBURNE</w:t>
            </w:r>
          </w:p>
        </w:tc>
        <w:tc>
          <w:tcPr>
            <w:tcW w:w="2401" w:type="dxa"/>
            <w:shd w:val="clear" w:color="auto" w:fill="auto"/>
          </w:tcPr>
          <w:p w14:paraId="3D93DF8E" w14:textId="77777777" w:rsidR="000C2391" w:rsidRPr="001D03FD" w:rsidRDefault="000C2391" w:rsidP="004E3648">
            <w:pPr>
              <w:jc w:val="center"/>
              <w:rPr>
                <w:rFonts w:ascii="Calibri" w:hAnsi="Calibri"/>
                <w:sz w:val="22"/>
                <w:lang w:eastAsia="zh-CN"/>
              </w:rPr>
            </w:pPr>
            <w:r w:rsidRPr="001D03FD">
              <w:rPr>
                <w:rFonts w:ascii="Calibri" w:hAnsi="Calibri"/>
                <w:sz w:val="22"/>
                <w:lang w:eastAsia="zh-CN"/>
              </w:rPr>
              <w:t>Animation</w:t>
            </w:r>
          </w:p>
        </w:tc>
        <w:tc>
          <w:tcPr>
            <w:tcW w:w="2427" w:type="dxa"/>
            <w:shd w:val="clear" w:color="auto" w:fill="auto"/>
          </w:tcPr>
          <w:p w14:paraId="6CF4277F" w14:textId="77777777" w:rsidR="000C2391" w:rsidRPr="001D03FD" w:rsidRDefault="000C2391" w:rsidP="004E3648">
            <w:pPr>
              <w:rPr>
                <w:rFonts w:ascii="Calibri" w:hAnsi="Calibri"/>
                <w:sz w:val="16"/>
                <w:szCs w:val="18"/>
                <w:lang w:eastAsia="zh-CN"/>
              </w:rPr>
            </w:pPr>
            <w:r w:rsidRPr="001D03FD">
              <w:rPr>
                <w:rFonts w:ascii="Calibri" w:hAnsi="Calibri"/>
                <w:sz w:val="16"/>
                <w:szCs w:val="18"/>
                <w:lang w:eastAsia="zh-CN"/>
              </w:rPr>
              <w:t>Units 3 and 4: a study score of at least 30 in English (EAL) or at least 25 in English other than EAL.</w:t>
            </w:r>
          </w:p>
        </w:tc>
        <w:tc>
          <w:tcPr>
            <w:tcW w:w="4756" w:type="dxa"/>
            <w:shd w:val="clear" w:color="auto" w:fill="auto"/>
          </w:tcPr>
          <w:p w14:paraId="6D9C15F7" w14:textId="77777777" w:rsidR="000C2391" w:rsidRPr="001D03FD" w:rsidRDefault="000C2391" w:rsidP="004E3648">
            <w:pPr>
              <w:rPr>
                <w:rFonts w:ascii="Calibri" w:hAnsi="Calibri"/>
                <w:sz w:val="16"/>
                <w:szCs w:val="18"/>
                <w:lang w:eastAsia="zh-CN"/>
              </w:rPr>
            </w:pPr>
            <w:r w:rsidRPr="001D03FD">
              <w:rPr>
                <w:rFonts w:ascii="Calibri" w:hAnsi="Calibri"/>
                <w:sz w:val="16"/>
                <w:szCs w:val="18"/>
                <w:lang w:eastAsia="zh-CN"/>
              </w:rPr>
              <w:t>2D and 3D production techniques for animation, Acting for animation, Action analysis and locomotion, Advanced character design for animation, Character and environment design, Genre and the moving image, History of animation, Producing and production management, Sound design and acquisition, Writing and directing for animation.</w:t>
            </w:r>
          </w:p>
        </w:tc>
      </w:tr>
      <w:tr w:rsidR="000C2391" w:rsidRPr="0054319B" w14:paraId="213E9979" w14:textId="77777777" w:rsidTr="000C2391">
        <w:trPr>
          <w:trHeight w:val="663"/>
          <w:jc w:val="center"/>
        </w:trPr>
        <w:tc>
          <w:tcPr>
            <w:tcW w:w="1474" w:type="dxa"/>
            <w:vMerge/>
            <w:shd w:val="clear" w:color="auto" w:fill="2F5496"/>
          </w:tcPr>
          <w:p w14:paraId="5C79D1FD" w14:textId="77777777" w:rsidR="000C2391" w:rsidRPr="0029238C" w:rsidRDefault="000C2391" w:rsidP="004E3648">
            <w:pPr>
              <w:jc w:val="center"/>
              <w:rPr>
                <w:rFonts w:ascii="Calibri" w:hAnsi="Calibri"/>
                <w:b/>
                <w:color w:val="FFFFFF"/>
                <w:sz w:val="22"/>
                <w:lang w:eastAsia="zh-CN"/>
              </w:rPr>
            </w:pPr>
          </w:p>
        </w:tc>
        <w:tc>
          <w:tcPr>
            <w:tcW w:w="2401" w:type="dxa"/>
            <w:shd w:val="clear" w:color="auto" w:fill="auto"/>
          </w:tcPr>
          <w:p w14:paraId="4879AE93" w14:textId="77777777" w:rsidR="000C2391" w:rsidRPr="001D03FD" w:rsidRDefault="000C2391" w:rsidP="004E3648">
            <w:pPr>
              <w:jc w:val="center"/>
              <w:rPr>
                <w:rFonts w:ascii="Calibri" w:hAnsi="Calibri"/>
                <w:sz w:val="22"/>
                <w:lang w:eastAsia="zh-CN"/>
              </w:rPr>
            </w:pPr>
            <w:r w:rsidRPr="001D03FD">
              <w:rPr>
                <w:rFonts w:ascii="Calibri" w:hAnsi="Calibri"/>
                <w:sz w:val="22"/>
                <w:lang w:eastAsia="zh-CN"/>
              </w:rPr>
              <w:t>Games and Interactivity</w:t>
            </w:r>
          </w:p>
        </w:tc>
        <w:tc>
          <w:tcPr>
            <w:tcW w:w="2427" w:type="dxa"/>
            <w:shd w:val="clear" w:color="auto" w:fill="auto"/>
          </w:tcPr>
          <w:p w14:paraId="7F2B2B2B" w14:textId="77777777" w:rsidR="000C2391" w:rsidRPr="001D03FD" w:rsidRDefault="000C2391" w:rsidP="004E3648">
            <w:pPr>
              <w:rPr>
                <w:rFonts w:ascii="Calibri" w:hAnsi="Calibri"/>
                <w:sz w:val="16"/>
                <w:szCs w:val="18"/>
                <w:lang w:eastAsia="zh-CN"/>
              </w:rPr>
            </w:pPr>
            <w:r w:rsidRPr="001D03FD">
              <w:rPr>
                <w:rFonts w:ascii="Calibri" w:hAnsi="Calibri"/>
                <w:sz w:val="16"/>
                <w:szCs w:val="18"/>
                <w:lang w:eastAsia="zh-CN"/>
              </w:rPr>
              <w:t>Units 3 and 4: a study score of at least 30 in English (EAL) or at least 25 in English other than EAL.</w:t>
            </w:r>
          </w:p>
        </w:tc>
        <w:tc>
          <w:tcPr>
            <w:tcW w:w="4756" w:type="dxa"/>
            <w:shd w:val="clear" w:color="auto" w:fill="auto"/>
          </w:tcPr>
          <w:p w14:paraId="362414CC" w14:textId="77777777" w:rsidR="000C2391" w:rsidRPr="001D03FD" w:rsidRDefault="000C2391" w:rsidP="004E3648">
            <w:pPr>
              <w:rPr>
                <w:rFonts w:ascii="Calibri" w:hAnsi="Calibri"/>
                <w:sz w:val="16"/>
                <w:szCs w:val="18"/>
                <w:lang w:eastAsia="zh-CN"/>
              </w:rPr>
            </w:pPr>
            <w:r w:rsidRPr="001D03FD">
              <w:rPr>
                <w:rFonts w:ascii="Calibri" w:hAnsi="Calibri"/>
                <w:sz w:val="16"/>
                <w:szCs w:val="18"/>
                <w:lang w:eastAsia="zh-CN"/>
              </w:rPr>
              <w:t xml:space="preserve">3D modelling for objects and environments, Behaviour and motivation in games, Digital game prototyping lab, Introduction to game studies, Introduction to games production, Pervasive game design lab, Principles of game design, Sound design and acquisition, User-centred </w:t>
            </w:r>
            <w:proofErr w:type="gramStart"/>
            <w:r w:rsidRPr="001D03FD">
              <w:rPr>
                <w:rFonts w:ascii="Calibri" w:hAnsi="Calibri"/>
                <w:sz w:val="16"/>
                <w:szCs w:val="18"/>
                <w:lang w:eastAsia="zh-CN"/>
              </w:rPr>
              <w:t>design</w:t>
            </w:r>
            <w:proofErr w:type="gramEnd"/>
            <w:r w:rsidRPr="001D03FD">
              <w:rPr>
                <w:rFonts w:ascii="Calibri" w:hAnsi="Calibri"/>
                <w:sz w:val="16"/>
                <w:szCs w:val="18"/>
                <w:lang w:eastAsia="zh-CN"/>
              </w:rPr>
              <w:t xml:space="preserve"> and evaluation, Writing for interactive narratives.</w:t>
            </w:r>
          </w:p>
        </w:tc>
      </w:tr>
      <w:tr w:rsidR="000C2391" w:rsidRPr="0054319B" w14:paraId="0E3565EE" w14:textId="77777777" w:rsidTr="000C2391">
        <w:trPr>
          <w:trHeight w:val="135"/>
          <w:jc w:val="center"/>
        </w:trPr>
        <w:tc>
          <w:tcPr>
            <w:tcW w:w="1474" w:type="dxa"/>
            <w:vMerge/>
            <w:shd w:val="clear" w:color="auto" w:fill="2F5496"/>
          </w:tcPr>
          <w:p w14:paraId="799275BE" w14:textId="77777777" w:rsidR="000C2391" w:rsidRPr="0029238C" w:rsidRDefault="000C2391" w:rsidP="004E3648">
            <w:pPr>
              <w:jc w:val="center"/>
              <w:rPr>
                <w:rFonts w:ascii="Calibri" w:hAnsi="Calibri"/>
                <w:b/>
                <w:color w:val="FFFFFF"/>
                <w:sz w:val="22"/>
                <w:lang w:eastAsia="zh-CN"/>
              </w:rPr>
            </w:pPr>
          </w:p>
        </w:tc>
        <w:tc>
          <w:tcPr>
            <w:tcW w:w="2401" w:type="dxa"/>
            <w:shd w:val="clear" w:color="auto" w:fill="auto"/>
          </w:tcPr>
          <w:p w14:paraId="02BC0279" w14:textId="77777777" w:rsidR="000C2391" w:rsidRPr="007237AE" w:rsidRDefault="000C2391" w:rsidP="004E3648">
            <w:pPr>
              <w:jc w:val="center"/>
              <w:rPr>
                <w:rFonts w:ascii="Calibri" w:hAnsi="Calibri"/>
                <w:sz w:val="22"/>
                <w:lang w:eastAsia="zh-CN"/>
              </w:rPr>
            </w:pPr>
            <w:r w:rsidRPr="007237AE">
              <w:rPr>
                <w:rFonts w:ascii="Calibri" w:hAnsi="Calibri"/>
                <w:sz w:val="22"/>
                <w:lang w:eastAsia="zh-CN"/>
              </w:rPr>
              <w:t>Games and Interactivity/Animation</w:t>
            </w:r>
          </w:p>
        </w:tc>
        <w:tc>
          <w:tcPr>
            <w:tcW w:w="2427" w:type="dxa"/>
            <w:shd w:val="clear" w:color="auto" w:fill="auto"/>
          </w:tcPr>
          <w:p w14:paraId="01B78698" w14:textId="77777777" w:rsidR="000C2391" w:rsidRPr="007237AE" w:rsidRDefault="000C2391" w:rsidP="004E3648">
            <w:pPr>
              <w:rPr>
                <w:rFonts w:ascii="Calibri" w:hAnsi="Calibri"/>
                <w:sz w:val="16"/>
                <w:szCs w:val="18"/>
                <w:lang w:eastAsia="zh-CN"/>
              </w:rPr>
            </w:pPr>
            <w:r w:rsidRPr="007237AE">
              <w:rPr>
                <w:rFonts w:ascii="Calibri" w:hAnsi="Calibri"/>
                <w:sz w:val="16"/>
                <w:szCs w:val="18"/>
                <w:lang w:eastAsia="zh-CN"/>
              </w:rPr>
              <w:t>Units 3 and 4: a study score of at least 25 in English other than EAL or at least 30 in English (EAL).</w:t>
            </w:r>
          </w:p>
        </w:tc>
        <w:tc>
          <w:tcPr>
            <w:tcW w:w="4756" w:type="dxa"/>
            <w:shd w:val="clear" w:color="auto" w:fill="auto"/>
          </w:tcPr>
          <w:p w14:paraId="78B33641" w14:textId="77777777" w:rsidR="000C2391" w:rsidRPr="007237AE" w:rsidRDefault="000C2391" w:rsidP="004E3648">
            <w:pPr>
              <w:rPr>
                <w:rFonts w:ascii="Calibri" w:hAnsi="Calibri"/>
                <w:sz w:val="16"/>
                <w:szCs w:val="18"/>
                <w:lang w:eastAsia="zh-CN"/>
              </w:rPr>
            </w:pPr>
            <w:r w:rsidRPr="007237AE">
              <w:rPr>
                <w:rFonts w:ascii="Calibri" w:hAnsi="Calibri"/>
                <w:sz w:val="16"/>
                <w:szCs w:val="18"/>
                <w:lang w:eastAsia="zh-CN"/>
              </w:rPr>
              <w:t>2D and 3D production techniques for animation, 3D modelling for objects and environments, Acting for animation, Action analysis and locomotion, Behaviour and motivation in games, Character and environment design, Character design for animation, Development and pre-production, Digital game prototyping, Genre and the moving image, History of animation, Pervasive game design, Principles of game design, Producing and production management for animation, Production and post-production, Screen writing, Sound design and acquisition, User-centred design and evaluation, Writing for interactive narratives.</w:t>
            </w:r>
          </w:p>
        </w:tc>
      </w:tr>
      <w:tr w:rsidR="000C2391" w:rsidRPr="0054319B" w14:paraId="7CB131C3" w14:textId="77777777" w:rsidTr="000C2391">
        <w:trPr>
          <w:trHeight w:val="912"/>
          <w:jc w:val="center"/>
        </w:trPr>
        <w:tc>
          <w:tcPr>
            <w:tcW w:w="1474" w:type="dxa"/>
            <w:shd w:val="clear" w:color="auto" w:fill="2F5496"/>
          </w:tcPr>
          <w:p w14:paraId="31941349" w14:textId="77777777" w:rsidR="000C2391" w:rsidRPr="0029238C" w:rsidRDefault="000C2391" w:rsidP="004E3648">
            <w:pPr>
              <w:jc w:val="center"/>
              <w:rPr>
                <w:rFonts w:ascii="Calibri" w:hAnsi="Calibri"/>
                <w:b/>
                <w:color w:val="FFFFFF"/>
                <w:sz w:val="22"/>
                <w:lang w:eastAsia="zh-CN"/>
              </w:rPr>
            </w:pPr>
            <w:r w:rsidRPr="0029238C">
              <w:rPr>
                <w:rFonts w:ascii="Calibri" w:hAnsi="Calibri"/>
                <w:b/>
                <w:color w:val="FFFFFF"/>
                <w:sz w:val="22"/>
                <w:lang w:eastAsia="zh-CN"/>
              </w:rPr>
              <w:t>UNI MELBOURNE</w:t>
            </w:r>
          </w:p>
        </w:tc>
        <w:tc>
          <w:tcPr>
            <w:tcW w:w="2401" w:type="dxa"/>
            <w:shd w:val="clear" w:color="auto" w:fill="auto"/>
          </w:tcPr>
          <w:p w14:paraId="18B4975C" w14:textId="77777777" w:rsidR="000C2391" w:rsidRPr="00602CD8" w:rsidRDefault="000C2391" w:rsidP="004E3648">
            <w:pPr>
              <w:jc w:val="center"/>
              <w:rPr>
                <w:rFonts w:ascii="Calibri" w:hAnsi="Calibri"/>
                <w:sz w:val="22"/>
                <w:lang w:eastAsia="zh-CN"/>
              </w:rPr>
            </w:pPr>
            <w:r w:rsidRPr="00602CD8">
              <w:rPr>
                <w:rFonts w:ascii="Calibri" w:hAnsi="Calibri"/>
                <w:sz w:val="22"/>
                <w:lang w:eastAsia="zh-CN"/>
              </w:rPr>
              <w:t>Fine Arts (Animation)</w:t>
            </w:r>
          </w:p>
        </w:tc>
        <w:tc>
          <w:tcPr>
            <w:tcW w:w="2427" w:type="dxa"/>
            <w:shd w:val="clear" w:color="auto" w:fill="auto"/>
          </w:tcPr>
          <w:p w14:paraId="631F74F8" w14:textId="77777777" w:rsidR="000C2391" w:rsidRPr="00602CD8" w:rsidRDefault="000C2391" w:rsidP="004E3648">
            <w:pPr>
              <w:rPr>
                <w:rFonts w:ascii="Calibri" w:hAnsi="Calibri"/>
                <w:sz w:val="16"/>
                <w:szCs w:val="18"/>
                <w:lang w:eastAsia="zh-CN"/>
              </w:rPr>
            </w:pPr>
            <w:r w:rsidRPr="00602CD8">
              <w:rPr>
                <w:rFonts w:ascii="Calibri" w:hAnsi="Calibri"/>
                <w:sz w:val="16"/>
                <w:szCs w:val="18"/>
                <w:lang w:eastAsia="zh-CN"/>
              </w:rPr>
              <w:t>Units 3 and 4: a study score of at least 30 in English (EAL) or at least 25 in English other than EAL.</w:t>
            </w:r>
          </w:p>
          <w:p w14:paraId="48D7320C" w14:textId="77777777" w:rsidR="000C2391" w:rsidRPr="00602CD8" w:rsidRDefault="000C2391" w:rsidP="004E3648">
            <w:pPr>
              <w:rPr>
                <w:rFonts w:ascii="Calibri" w:hAnsi="Calibri"/>
                <w:sz w:val="16"/>
                <w:szCs w:val="18"/>
                <w:lang w:eastAsia="zh-CN"/>
              </w:rPr>
            </w:pPr>
          </w:p>
        </w:tc>
        <w:tc>
          <w:tcPr>
            <w:tcW w:w="4756" w:type="dxa"/>
            <w:shd w:val="clear" w:color="auto" w:fill="auto"/>
          </w:tcPr>
          <w:p w14:paraId="02A7DC0B" w14:textId="77777777" w:rsidR="000C2391" w:rsidRPr="00602CD8" w:rsidRDefault="000C2391" w:rsidP="004E3648">
            <w:pPr>
              <w:rPr>
                <w:rFonts w:ascii="Calibri" w:hAnsi="Calibri"/>
                <w:sz w:val="16"/>
                <w:szCs w:val="18"/>
                <w:lang w:eastAsia="zh-CN"/>
              </w:rPr>
            </w:pPr>
            <w:r w:rsidRPr="00602CD8">
              <w:rPr>
                <w:rFonts w:ascii="Calibri" w:hAnsi="Calibri"/>
                <w:sz w:val="16"/>
                <w:szCs w:val="18"/>
                <w:lang w:eastAsia="zh-CN"/>
              </w:rPr>
              <w:t>Animation.</w:t>
            </w:r>
          </w:p>
        </w:tc>
      </w:tr>
      <w:tr w:rsidR="000C2391" w:rsidRPr="0054319B" w14:paraId="013193E2" w14:textId="77777777" w:rsidTr="000C2391">
        <w:trPr>
          <w:trHeight w:val="390"/>
          <w:jc w:val="center"/>
        </w:trPr>
        <w:tc>
          <w:tcPr>
            <w:tcW w:w="1474" w:type="dxa"/>
            <w:shd w:val="clear" w:color="auto" w:fill="2F5496"/>
          </w:tcPr>
          <w:p w14:paraId="34CF06A5" w14:textId="77777777" w:rsidR="000C2391" w:rsidRPr="0029238C" w:rsidRDefault="000C2391" w:rsidP="004E3648">
            <w:pPr>
              <w:jc w:val="center"/>
              <w:rPr>
                <w:rFonts w:ascii="Calibri" w:hAnsi="Calibri"/>
                <w:b/>
                <w:color w:val="FFFFFF"/>
                <w:sz w:val="22"/>
                <w:lang w:eastAsia="zh-CN"/>
              </w:rPr>
            </w:pPr>
            <w:r w:rsidRPr="0029238C">
              <w:rPr>
                <w:rFonts w:ascii="Calibri" w:hAnsi="Calibri"/>
                <w:b/>
                <w:color w:val="FFFFFF"/>
                <w:sz w:val="22"/>
                <w:lang w:eastAsia="zh-CN"/>
              </w:rPr>
              <w:t>VICTORIA UNIVERSITY</w:t>
            </w:r>
          </w:p>
        </w:tc>
        <w:tc>
          <w:tcPr>
            <w:tcW w:w="2401" w:type="dxa"/>
            <w:shd w:val="clear" w:color="auto" w:fill="auto"/>
          </w:tcPr>
          <w:p w14:paraId="053EBBA4" w14:textId="77777777" w:rsidR="000C2391" w:rsidRPr="0023697D" w:rsidRDefault="000C2391" w:rsidP="004E3648">
            <w:pPr>
              <w:jc w:val="center"/>
              <w:rPr>
                <w:rFonts w:ascii="Calibri" w:hAnsi="Calibri"/>
                <w:sz w:val="22"/>
                <w:lang w:eastAsia="zh-CN"/>
              </w:rPr>
            </w:pPr>
            <w:r w:rsidRPr="0023697D">
              <w:rPr>
                <w:rFonts w:ascii="Calibri" w:hAnsi="Calibri"/>
                <w:sz w:val="22"/>
                <w:lang w:eastAsia="zh-CN"/>
              </w:rPr>
              <w:t>Animation &amp; Visual Effects</w:t>
            </w:r>
          </w:p>
        </w:tc>
        <w:tc>
          <w:tcPr>
            <w:tcW w:w="2427" w:type="dxa"/>
            <w:shd w:val="clear" w:color="auto" w:fill="auto"/>
          </w:tcPr>
          <w:p w14:paraId="52B131EF" w14:textId="77777777" w:rsidR="000C2391" w:rsidRPr="0023697D" w:rsidRDefault="000C2391" w:rsidP="004E3648">
            <w:pPr>
              <w:rPr>
                <w:rFonts w:ascii="Calibri" w:hAnsi="Calibri"/>
                <w:sz w:val="16"/>
                <w:szCs w:val="18"/>
                <w:lang w:eastAsia="zh-CN"/>
              </w:rPr>
            </w:pPr>
            <w:r w:rsidRPr="0023697D">
              <w:rPr>
                <w:rFonts w:ascii="Calibri" w:hAnsi="Calibri"/>
                <w:sz w:val="16"/>
                <w:szCs w:val="18"/>
                <w:lang w:eastAsia="zh-CN"/>
              </w:rPr>
              <w:t>Units 3 and 4: a study score of at least 25 in English (EAL) or at least 20 in English other than EAL.</w:t>
            </w:r>
          </w:p>
        </w:tc>
        <w:tc>
          <w:tcPr>
            <w:tcW w:w="4756" w:type="dxa"/>
            <w:shd w:val="clear" w:color="auto" w:fill="auto"/>
          </w:tcPr>
          <w:p w14:paraId="72D56FDE" w14:textId="77777777" w:rsidR="000C2391" w:rsidRPr="0023697D" w:rsidRDefault="000C2391" w:rsidP="004E3648">
            <w:pPr>
              <w:rPr>
                <w:rFonts w:ascii="Calibri" w:hAnsi="Calibri"/>
                <w:sz w:val="16"/>
                <w:szCs w:val="18"/>
                <w:lang w:eastAsia="zh-CN"/>
              </w:rPr>
            </w:pPr>
            <w:r w:rsidRPr="0023697D">
              <w:rPr>
                <w:rFonts w:ascii="Calibri" w:hAnsi="Calibri"/>
                <w:sz w:val="16"/>
                <w:szCs w:val="18"/>
                <w:lang w:eastAsia="zh-CN"/>
              </w:rPr>
              <w:t>Animation, Visual effects.</w:t>
            </w:r>
          </w:p>
        </w:tc>
      </w:tr>
    </w:tbl>
    <w:p w14:paraId="751BE3FB" w14:textId="71DCE52D" w:rsidR="00315F2E" w:rsidRDefault="00315F2E" w:rsidP="00CC4575">
      <w:pPr>
        <w:pStyle w:val="NoSpacing"/>
        <w:rPr>
          <w:rFonts w:cs="Calibri"/>
          <w:bCs/>
          <w:sz w:val="24"/>
          <w:szCs w:val="24"/>
        </w:rPr>
      </w:pPr>
      <w:r>
        <w:rPr>
          <w:rFonts w:cs="Calibri"/>
          <w:bCs/>
          <w:sz w:val="24"/>
          <w:szCs w:val="24"/>
        </w:rPr>
        <w:br/>
      </w:r>
    </w:p>
    <w:p w14:paraId="5A884185" w14:textId="77777777" w:rsidR="007831A7" w:rsidRDefault="007831A7" w:rsidP="00CC4575">
      <w:pPr>
        <w:pStyle w:val="NoSpacing"/>
        <w:rPr>
          <w:rFonts w:cs="Calibri"/>
          <w:bCs/>
          <w:sz w:val="24"/>
          <w:szCs w:val="24"/>
        </w:rPr>
      </w:pPr>
    </w:p>
    <w:p w14:paraId="318A3313" w14:textId="77777777" w:rsidR="003B01D4" w:rsidRPr="00C1088D" w:rsidRDefault="004A786C" w:rsidP="003B01D4">
      <w:pPr>
        <w:pStyle w:val="NoSpacing"/>
        <w:numPr>
          <w:ilvl w:val="0"/>
          <w:numId w:val="11"/>
        </w:numPr>
        <w:ind w:left="0"/>
        <w:rPr>
          <w:rFonts w:asciiTheme="minorHAnsi" w:hAnsiTheme="minorHAnsi" w:cstheme="minorHAnsi"/>
          <w:sz w:val="24"/>
          <w:szCs w:val="24"/>
        </w:rPr>
      </w:pPr>
      <w:r w:rsidRPr="00C1088D">
        <w:rPr>
          <w:rFonts w:asciiTheme="minorHAnsi" w:hAnsiTheme="minorHAnsi" w:cstheme="minorHAnsi"/>
          <w:b/>
          <w:noProof/>
          <w:sz w:val="28"/>
          <w:szCs w:val="28"/>
          <w:u w:val="single"/>
          <w:lang w:eastAsia="zh-CN"/>
        </w:rPr>
        <w:lastRenderedPageBreak/>
        <w:drawing>
          <wp:inline distT="0" distB="0" distL="0" distR="0" wp14:anchorId="779F1567" wp14:editId="2D050C5A">
            <wp:extent cx="715645" cy="715645"/>
            <wp:effectExtent l="0" t="0" r="8255" b="8255"/>
            <wp:docPr id="37" name="Picture 3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1256" cy="731256"/>
                    </a:xfrm>
                    <a:prstGeom prst="rect">
                      <a:avLst/>
                    </a:prstGeom>
                    <a:noFill/>
                    <a:ln>
                      <a:noFill/>
                    </a:ln>
                  </pic:spPr>
                </pic:pic>
              </a:graphicData>
            </a:graphic>
          </wp:inline>
        </w:drawing>
      </w:r>
      <w:r w:rsidRPr="00C1088D">
        <w:rPr>
          <w:rFonts w:asciiTheme="minorHAnsi" w:hAnsiTheme="minorHAnsi" w:cstheme="minorHAnsi"/>
          <w:b/>
          <w:sz w:val="28"/>
          <w:u w:val="single"/>
        </w:rPr>
        <w:t xml:space="preserve">  Snapshot of Deakin University in 2024</w:t>
      </w:r>
      <w:r w:rsidR="003B01D4">
        <w:rPr>
          <w:rFonts w:asciiTheme="minorHAnsi" w:hAnsiTheme="minorHAnsi" w:cstheme="minorHAnsi"/>
          <w:b/>
          <w:sz w:val="28"/>
          <w:u w:val="single"/>
        </w:rPr>
        <w:br/>
      </w:r>
      <w:r w:rsidR="003B01D4" w:rsidRPr="00C1088D">
        <w:rPr>
          <w:rFonts w:asciiTheme="minorHAnsi" w:hAnsiTheme="minorHAnsi" w:cstheme="minorHAnsi"/>
          <w:sz w:val="24"/>
          <w:szCs w:val="24"/>
        </w:rPr>
        <w:t xml:space="preserve">Deakin University is one of the largest universities in Australia, with over 66 000 students across its four campuses across Melbourne,  Geelong, and Warrnambool, and one being its Cloud Campus - </w:t>
      </w:r>
      <w:hyperlink r:id="rId33" w:history="1">
        <w:r w:rsidR="003B01D4" w:rsidRPr="00C1088D">
          <w:rPr>
            <w:rStyle w:val="Hyperlink"/>
            <w:rFonts w:asciiTheme="minorHAnsi" w:hAnsiTheme="minorHAnsi" w:cstheme="minorHAnsi"/>
            <w:sz w:val="24"/>
            <w:szCs w:val="24"/>
          </w:rPr>
          <w:t>Deakin Locations</w:t>
        </w:r>
      </w:hyperlink>
      <w:r w:rsidR="003B01D4" w:rsidRPr="00C1088D">
        <w:rPr>
          <w:rStyle w:val="Hyperlink"/>
          <w:rFonts w:asciiTheme="minorHAnsi" w:hAnsiTheme="minorHAnsi" w:cstheme="minorHAnsi"/>
          <w:sz w:val="24"/>
          <w:szCs w:val="24"/>
        </w:rPr>
        <w:t>.</w:t>
      </w:r>
    </w:p>
    <w:p w14:paraId="1DD635D9" w14:textId="77777777" w:rsidR="003B01D4" w:rsidRPr="00CE7550" w:rsidRDefault="003B01D4" w:rsidP="003B01D4">
      <w:pPr>
        <w:pStyle w:val="NoSpacing"/>
        <w:numPr>
          <w:ilvl w:val="0"/>
          <w:numId w:val="11"/>
        </w:numPr>
        <w:ind w:left="0"/>
        <w:rPr>
          <w:rStyle w:val="Hyperlink"/>
          <w:rFonts w:asciiTheme="minorHAnsi" w:hAnsiTheme="minorHAnsi" w:cstheme="minorHAnsi"/>
          <w:color w:val="auto"/>
          <w:sz w:val="24"/>
          <w:szCs w:val="24"/>
          <w:u w:val="none"/>
        </w:rPr>
      </w:pPr>
      <w:r w:rsidRPr="00C1088D">
        <w:rPr>
          <w:rFonts w:asciiTheme="minorHAnsi" w:hAnsiTheme="minorHAnsi" w:cstheme="minorHAnsi"/>
          <w:sz w:val="24"/>
          <w:szCs w:val="24"/>
        </w:rPr>
        <w:t xml:space="preserve">Ranked highly for world-class facilities, research, and teaching, as well as employability, innovation, and inclusiveness – browse </w:t>
      </w:r>
      <w:hyperlink r:id="rId34" w:history="1">
        <w:r w:rsidRPr="00C1088D">
          <w:rPr>
            <w:rStyle w:val="Hyperlink"/>
            <w:rFonts w:asciiTheme="minorHAnsi" w:hAnsiTheme="minorHAnsi" w:cstheme="minorHAnsi"/>
            <w:sz w:val="24"/>
            <w:szCs w:val="24"/>
          </w:rPr>
          <w:t>About Deakin</w:t>
        </w:r>
      </w:hyperlink>
      <w:r w:rsidRPr="00C1088D">
        <w:rPr>
          <w:rFonts w:asciiTheme="minorHAnsi" w:hAnsiTheme="minorHAnsi" w:cstheme="minorHAnsi"/>
          <w:sz w:val="24"/>
          <w:szCs w:val="24"/>
        </w:rPr>
        <w:t xml:space="preserve"> and </w:t>
      </w:r>
      <w:hyperlink r:id="rId35" w:history="1">
        <w:r w:rsidRPr="00C1088D">
          <w:rPr>
            <w:rStyle w:val="Hyperlink"/>
            <w:sz w:val="24"/>
            <w:szCs w:val="24"/>
          </w:rPr>
          <w:t>Why Deakin.</w:t>
        </w:r>
        <w:r w:rsidRPr="00C1088D">
          <w:rPr>
            <w:rStyle w:val="Hyperlink"/>
          </w:rPr>
          <w:t xml:space="preserve"> </w:t>
        </w:r>
      </w:hyperlink>
    </w:p>
    <w:p w14:paraId="3DDC866C" w14:textId="77777777" w:rsidR="003B01D4" w:rsidRDefault="003B01D4" w:rsidP="003B01D4">
      <w:pPr>
        <w:pStyle w:val="NoSpacing"/>
        <w:numPr>
          <w:ilvl w:val="0"/>
          <w:numId w:val="11"/>
        </w:numPr>
        <w:ind w:left="0"/>
        <w:rPr>
          <w:rFonts w:asciiTheme="minorHAnsi" w:hAnsiTheme="minorHAnsi" w:cstheme="minorHAnsi"/>
          <w:sz w:val="24"/>
          <w:szCs w:val="24"/>
        </w:rPr>
      </w:pPr>
      <w:r w:rsidRPr="00C1088D">
        <w:rPr>
          <w:rFonts w:asciiTheme="minorHAnsi" w:hAnsiTheme="minorHAnsi" w:cstheme="minorHAnsi"/>
          <w:sz w:val="24"/>
          <w:szCs w:val="24"/>
        </w:rPr>
        <w:t xml:space="preserve">Deakin has maintained the highest level of overall student satisfaction among Victorian universities for more than </w:t>
      </w:r>
      <w:r>
        <w:rPr>
          <w:rFonts w:asciiTheme="minorHAnsi" w:hAnsiTheme="minorHAnsi" w:cstheme="minorHAnsi"/>
          <w:sz w:val="24"/>
          <w:szCs w:val="24"/>
        </w:rPr>
        <w:t>twelve</w:t>
      </w:r>
      <w:r w:rsidRPr="00C1088D">
        <w:rPr>
          <w:rFonts w:asciiTheme="minorHAnsi" w:hAnsiTheme="minorHAnsi" w:cstheme="minorHAnsi"/>
          <w:sz w:val="24"/>
          <w:szCs w:val="24"/>
        </w:rPr>
        <w:t xml:space="preserve"> years running.</w:t>
      </w:r>
    </w:p>
    <w:p w14:paraId="501DA6BD" w14:textId="77777777" w:rsidR="003B01D4" w:rsidRPr="00C1088D" w:rsidRDefault="003B01D4" w:rsidP="003B01D4">
      <w:pPr>
        <w:pStyle w:val="NoSpacing"/>
        <w:numPr>
          <w:ilvl w:val="0"/>
          <w:numId w:val="11"/>
        </w:numPr>
        <w:ind w:left="0"/>
        <w:rPr>
          <w:rFonts w:asciiTheme="minorHAnsi" w:hAnsiTheme="minorHAnsi" w:cstheme="minorHAnsi"/>
          <w:sz w:val="24"/>
          <w:szCs w:val="24"/>
        </w:rPr>
      </w:pPr>
      <w:r>
        <w:rPr>
          <w:rFonts w:asciiTheme="minorHAnsi" w:hAnsiTheme="minorHAnsi" w:cstheme="minorHAnsi"/>
          <w:sz w:val="24"/>
          <w:szCs w:val="24"/>
        </w:rPr>
        <w:t xml:space="preserve">In the recently published </w:t>
      </w:r>
      <w:hyperlink r:id="rId36" w:history="1">
        <w:r>
          <w:rPr>
            <w:rStyle w:val="Hyperlink"/>
            <w:rFonts w:asciiTheme="minorHAnsi" w:hAnsiTheme="minorHAnsi" w:cstheme="minorHAnsi"/>
            <w:sz w:val="24"/>
            <w:szCs w:val="24"/>
          </w:rPr>
          <w:t>Australian Financial Review Best Universities Rankings</w:t>
        </w:r>
      </w:hyperlink>
      <w:r>
        <w:rPr>
          <w:rFonts w:asciiTheme="minorHAnsi" w:hAnsiTheme="minorHAnsi" w:cstheme="minorHAnsi"/>
          <w:sz w:val="24"/>
          <w:szCs w:val="24"/>
        </w:rPr>
        <w:t>, Deakin is listed #7 in Australia, and #2 in Victoria.</w:t>
      </w:r>
    </w:p>
    <w:p w14:paraId="1C9281C5" w14:textId="77777777" w:rsidR="003B01D4" w:rsidRPr="00C1088D" w:rsidRDefault="003B01D4" w:rsidP="003B01D4">
      <w:pPr>
        <w:pStyle w:val="NoSpacing"/>
        <w:numPr>
          <w:ilvl w:val="0"/>
          <w:numId w:val="11"/>
        </w:numPr>
        <w:ind w:left="0"/>
        <w:rPr>
          <w:rFonts w:asciiTheme="minorHAnsi" w:hAnsiTheme="minorHAnsi" w:cstheme="minorHAnsi"/>
          <w:b/>
          <w:bCs/>
          <w:sz w:val="24"/>
          <w:szCs w:val="24"/>
        </w:rPr>
      </w:pPr>
      <w:r w:rsidRPr="00C1088D">
        <w:rPr>
          <w:rFonts w:asciiTheme="minorHAnsi" w:hAnsiTheme="minorHAnsi" w:cstheme="minorHAnsi"/>
          <w:sz w:val="24"/>
          <w:szCs w:val="24"/>
        </w:rPr>
        <w:t xml:space="preserve">Deakin's School of Exercise and Nutrition Sciences is a world-leading sports science school, ranked #1 in the </w:t>
      </w:r>
      <w:hyperlink r:id="rId37" w:history="1">
        <w:r w:rsidRPr="00C1088D">
          <w:rPr>
            <w:rStyle w:val="Hyperlink"/>
            <w:rFonts w:asciiTheme="minorHAnsi" w:hAnsiTheme="minorHAnsi" w:cstheme="minorHAnsi"/>
            <w:sz w:val="24"/>
            <w:szCs w:val="24"/>
          </w:rPr>
          <w:t>Shanghai Ranking 2023</w:t>
        </w:r>
      </w:hyperlink>
      <w:r w:rsidRPr="00C1088D">
        <w:rPr>
          <w:rFonts w:asciiTheme="minorHAnsi" w:hAnsiTheme="minorHAnsi" w:cstheme="minorHAnsi"/>
          <w:sz w:val="24"/>
          <w:szCs w:val="24"/>
        </w:rPr>
        <w:t xml:space="preserve"> for Sport Science Schools and Departments in the world.</w:t>
      </w:r>
    </w:p>
    <w:p w14:paraId="3B8925A1" w14:textId="77777777" w:rsidR="003B01D4" w:rsidRPr="00C1088D" w:rsidRDefault="003B01D4" w:rsidP="003B01D4">
      <w:pPr>
        <w:pStyle w:val="NoSpacing"/>
        <w:numPr>
          <w:ilvl w:val="0"/>
          <w:numId w:val="11"/>
        </w:numPr>
        <w:ind w:left="0"/>
        <w:rPr>
          <w:rFonts w:asciiTheme="minorHAnsi" w:hAnsiTheme="minorHAnsi" w:cstheme="minorHAnsi"/>
          <w:sz w:val="24"/>
          <w:szCs w:val="24"/>
        </w:rPr>
      </w:pPr>
      <w:r w:rsidRPr="00C1088D">
        <w:rPr>
          <w:rFonts w:asciiTheme="minorHAnsi" w:hAnsiTheme="minorHAnsi" w:cstheme="minorHAnsi"/>
          <w:sz w:val="24"/>
          <w:szCs w:val="24"/>
        </w:rPr>
        <w:t xml:space="preserve">Deakin has four faculties and several schools within each faculty - </w:t>
      </w:r>
      <w:hyperlink r:id="rId38" w:history="1">
        <w:r w:rsidRPr="00C1088D">
          <w:rPr>
            <w:rStyle w:val="Hyperlink"/>
            <w:rFonts w:asciiTheme="minorHAnsi" w:hAnsiTheme="minorHAnsi" w:cstheme="minorHAnsi"/>
            <w:sz w:val="24"/>
            <w:szCs w:val="24"/>
          </w:rPr>
          <w:t>Faculties and Schools</w:t>
        </w:r>
      </w:hyperlink>
      <w:r w:rsidRPr="00C1088D">
        <w:rPr>
          <w:rStyle w:val="Hyperlink"/>
          <w:rFonts w:asciiTheme="minorHAnsi" w:hAnsiTheme="minorHAnsi" w:cstheme="minorHAnsi"/>
          <w:sz w:val="24"/>
          <w:szCs w:val="24"/>
        </w:rPr>
        <w:t>.</w:t>
      </w:r>
      <w:r w:rsidRPr="00C1088D">
        <w:rPr>
          <w:rFonts w:asciiTheme="minorHAnsi" w:hAnsiTheme="minorHAnsi" w:cstheme="minorHAnsi"/>
          <w:sz w:val="24"/>
          <w:szCs w:val="24"/>
        </w:rPr>
        <w:t xml:space="preserve"> </w:t>
      </w:r>
    </w:p>
    <w:p w14:paraId="17755AC5" w14:textId="77777777" w:rsidR="003B01D4" w:rsidRPr="00C1088D" w:rsidRDefault="003B01D4" w:rsidP="003B01D4">
      <w:pPr>
        <w:pStyle w:val="NoSpacing"/>
        <w:numPr>
          <w:ilvl w:val="0"/>
          <w:numId w:val="11"/>
        </w:numPr>
        <w:ind w:left="0"/>
        <w:rPr>
          <w:rFonts w:asciiTheme="minorHAnsi" w:hAnsiTheme="minorHAnsi" w:cstheme="minorHAnsi"/>
          <w:sz w:val="24"/>
          <w:szCs w:val="24"/>
        </w:rPr>
      </w:pPr>
      <w:r w:rsidRPr="00C1088D">
        <w:rPr>
          <w:rFonts w:asciiTheme="minorHAnsi" w:hAnsiTheme="minorHAnsi" w:cstheme="minorHAnsi"/>
          <w:sz w:val="24"/>
          <w:szCs w:val="24"/>
        </w:rPr>
        <w:t xml:space="preserve">Deakin is one of only 3 Victorian universities offering </w:t>
      </w:r>
      <w:hyperlink r:id="rId39" w:history="1">
        <w:r w:rsidRPr="00C1088D">
          <w:rPr>
            <w:rStyle w:val="Hyperlink"/>
            <w:rFonts w:asciiTheme="minorHAnsi" w:hAnsiTheme="minorHAnsi" w:cstheme="minorHAnsi"/>
            <w:sz w:val="24"/>
            <w:szCs w:val="24"/>
          </w:rPr>
          <w:t>graduate medicine</w:t>
        </w:r>
      </w:hyperlink>
      <w:r w:rsidRPr="00C1088D">
        <w:rPr>
          <w:rStyle w:val="Hyperlink"/>
          <w:rFonts w:asciiTheme="minorHAnsi" w:hAnsiTheme="minorHAnsi" w:cstheme="minorHAnsi"/>
          <w:sz w:val="24"/>
          <w:szCs w:val="24"/>
        </w:rPr>
        <w:t>.</w:t>
      </w:r>
    </w:p>
    <w:p w14:paraId="0C2803C6" w14:textId="77777777" w:rsidR="003B01D4" w:rsidRPr="00C1088D" w:rsidRDefault="003B01D4" w:rsidP="003B01D4">
      <w:pPr>
        <w:pStyle w:val="NoSpacing"/>
        <w:numPr>
          <w:ilvl w:val="0"/>
          <w:numId w:val="11"/>
        </w:numPr>
        <w:ind w:left="0"/>
        <w:rPr>
          <w:rFonts w:asciiTheme="minorHAnsi" w:hAnsiTheme="minorHAnsi" w:cstheme="minorHAnsi"/>
          <w:sz w:val="24"/>
          <w:szCs w:val="24"/>
        </w:rPr>
      </w:pPr>
      <w:r w:rsidRPr="00C1088D">
        <w:rPr>
          <w:rFonts w:asciiTheme="minorHAnsi" w:hAnsiTheme="minorHAnsi" w:cstheme="minorHAnsi"/>
          <w:sz w:val="24"/>
          <w:szCs w:val="24"/>
        </w:rPr>
        <w:t xml:space="preserve">Deakin offers trimesters and offers a significant number of its courses online - </w:t>
      </w:r>
      <w:hyperlink r:id="rId40" w:history="1">
        <w:r w:rsidRPr="00C1088D">
          <w:rPr>
            <w:rStyle w:val="Hyperlink"/>
            <w:rFonts w:asciiTheme="minorHAnsi" w:hAnsiTheme="minorHAnsi" w:cstheme="minorHAnsi"/>
            <w:sz w:val="24"/>
            <w:szCs w:val="24"/>
          </w:rPr>
          <w:t>Study online</w:t>
        </w:r>
      </w:hyperlink>
      <w:r w:rsidRPr="00C1088D">
        <w:rPr>
          <w:rFonts w:asciiTheme="minorHAnsi" w:hAnsiTheme="minorHAnsi" w:cstheme="minorHAnsi"/>
          <w:sz w:val="24"/>
          <w:szCs w:val="24"/>
        </w:rPr>
        <w:t>.</w:t>
      </w:r>
    </w:p>
    <w:p w14:paraId="76256BFD" w14:textId="77777777" w:rsidR="003B01D4" w:rsidRPr="00C1088D" w:rsidRDefault="003B01D4" w:rsidP="003B01D4">
      <w:pPr>
        <w:pStyle w:val="NoSpacing"/>
        <w:numPr>
          <w:ilvl w:val="0"/>
          <w:numId w:val="11"/>
        </w:numPr>
        <w:ind w:left="0"/>
        <w:rPr>
          <w:rFonts w:asciiTheme="minorHAnsi" w:hAnsiTheme="minorHAnsi" w:cstheme="minorHAnsi"/>
          <w:sz w:val="24"/>
          <w:szCs w:val="24"/>
        </w:rPr>
      </w:pPr>
      <w:r w:rsidRPr="00C1088D">
        <w:rPr>
          <w:rFonts w:asciiTheme="minorHAnsi" w:hAnsiTheme="minorHAnsi" w:cstheme="minorHAnsi"/>
          <w:sz w:val="24"/>
          <w:szCs w:val="24"/>
        </w:rPr>
        <w:t xml:space="preserve">Deakin encourages its students to participate in study abroad and exchange programs as part of their course - </w:t>
      </w:r>
      <w:hyperlink r:id="rId41" w:history="1">
        <w:r w:rsidRPr="00C1088D">
          <w:rPr>
            <w:rStyle w:val="Hyperlink"/>
            <w:rFonts w:asciiTheme="minorHAnsi" w:hAnsiTheme="minorHAnsi" w:cstheme="minorHAnsi"/>
            <w:sz w:val="24"/>
            <w:szCs w:val="24"/>
          </w:rPr>
          <w:t>Study Abroad</w:t>
        </w:r>
      </w:hyperlink>
      <w:r w:rsidRPr="00C1088D">
        <w:rPr>
          <w:rFonts w:asciiTheme="minorHAnsi" w:hAnsiTheme="minorHAnsi" w:cstheme="minorHAnsi"/>
          <w:sz w:val="24"/>
          <w:szCs w:val="24"/>
        </w:rPr>
        <w:t>.</w:t>
      </w:r>
    </w:p>
    <w:p w14:paraId="14ACB76F" w14:textId="77777777" w:rsidR="003B01D4" w:rsidRDefault="003B01D4" w:rsidP="003B01D4">
      <w:pPr>
        <w:pStyle w:val="NoSpacing"/>
        <w:numPr>
          <w:ilvl w:val="0"/>
          <w:numId w:val="11"/>
        </w:numPr>
        <w:ind w:left="0"/>
        <w:rPr>
          <w:rFonts w:asciiTheme="minorHAnsi" w:hAnsiTheme="minorHAnsi" w:cstheme="minorHAnsi"/>
          <w:sz w:val="24"/>
          <w:szCs w:val="24"/>
        </w:rPr>
      </w:pPr>
      <w:r w:rsidRPr="00C1088D">
        <w:rPr>
          <w:rFonts w:asciiTheme="minorHAnsi" w:hAnsiTheme="minorHAnsi" w:cstheme="minorHAnsi"/>
          <w:sz w:val="24"/>
          <w:szCs w:val="24"/>
        </w:rPr>
        <w:t xml:space="preserve">Another excellent resource for Deakin students is </w:t>
      </w:r>
      <w:r w:rsidRPr="00C1088D">
        <w:rPr>
          <w:rFonts w:asciiTheme="minorHAnsi" w:hAnsiTheme="minorHAnsi" w:cstheme="minorHAnsi"/>
          <w:b/>
          <w:bCs/>
          <w:i/>
          <w:sz w:val="24"/>
          <w:szCs w:val="24"/>
        </w:rPr>
        <w:t>this</w:t>
      </w:r>
      <w:r w:rsidRPr="00C1088D">
        <w:rPr>
          <w:rFonts w:asciiTheme="minorHAnsi" w:hAnsiTheme="minorHAnsi" w:cstheme="minorHAnsi"/>
          <w:i/>
          <w:sz w:val="24"/>
          <w:szCs w:val="24"/>
        </w:rPr>
        <w:t>.</w:t>
      </w:r>
      <w:r w:rsidRPr="00C1088D">
        <w:rPr>
          <w:rFonts w:asciiTheme="minorHAnsi" w:hAnsiTheme="minorHAnsi" w:cstheme="minorHAnsi"/>
          <w:sz w:val="24"/>
          <w:szCs w:val="24"/>
        </w:rPr>
        <w:t xml:space="preserve"> This resource is packed with inspiration for life, learning and career.  Deakin believes the journey is as important as the destination, and whether students are curious about technology, innovation, culture, or personal development, </w:t>
      </w:r>
      <w:r w:rsidRPr="00C1088D">
        <w:rPr>
          <w:rFonts w:asciiTheme="minorHAnsi" w:hAnsiTheme="minorHAnsi" w:cstheme="minorHAnsi"/>
          <w:bCs/>
          <w:i/>
          <w:iCs/>
          <w:sz w:val="24"/>
          <w:szCs w:val="24"/>
        </w:rPr>
        <w:t>this.</w:t>
      </w:r>
      <w:r w:rsidRPr="00C1088D">
        <w:rPr>
          <w:rFonts w:asciiTheme="minorHAnsi" w:hAnsiTheme="minorHAnsi" w:cstheme="minorHAnsi"/>
          <w:sz w:val="24"/>
          <w:szCs w:val="24"/>
        </w:rPr>
        <w:t xml:space="preserve"> is the perfect place to ignite imagination and fuel ambition - </w:t>
      </w:r>
      <w:hyperlink r:id="rId42" w:history="1">
        <w:r w:rsidRPr="00C1088D">
          <w:rPr>
            <w:rStyle w:val="Hyperlink"/>
            <w:rFonts w:asciiTheme="minorHAnsi" w:hAnsiTheme="minorHAnsi" w:cstheme="minorHAnsi"/>
            <w:i/>
            <w:iCs/>
            <w:sz w:val="24"/>
            <w:szCs w:val="24"/>
          </w:rPr>
          <w:t xml:space="preserve">this </w:t>
        </w:r>
        <w:r w:rsidRPr="00C1088D">
          <w:rPr>
            <w:rStyle w:val="Hyperlink"/>
            <w:rFonts w:asciiTheme="minorHAnsi" w:hAnsiTheme="minorHAnsi" w:cstheme="minorHAnsi"/>
            <w:sz w:val="24"/>
            <w:szCs w:val="24"/>
          </w:rPr>
          <w:t>Deakin</w:t>
        </w:r>
      </w:hyperlink>
      <w:r w:rsidRPr="00C1088D">
        <w:rPr>
          <w:rFonts w:asciiTheme="minorHAnsi" w:hAnsiTheme="minorHAnsi" w:cstheme="minorHAnsi"/>
          <w:sz w:val="24"/>
          <w:szCs w:val="24"/>
        </w:rPr>
        <w:t>.</w:t>
      </w:r>
    </w:p>
    <w:p w14:paraId="54601371" w14:textId="45289F93" w:rsidR="003B01D4" w:rsidRPr="00C1088D" w:rsidRDefault="003B01D4" w:rsidP="003B01D4">
      <w:pPr>
        <w:pStyle w:val="NoSpacing"/>
        <w:numPr>
          <w:ilvl w:val="0"/>
          <w:numId w:val="11"/>
        </w:numPr>
        <w:ind w:left="0"/>
        <w:rPr>
          <w:rFonts w:asciiTheme="minorHAnsi" w:hAnsiTheme="minorHAnsi" w:cstheme="minorHAnsi"/>
          <w:sz w:val="24"/>
          <w:szCs w:val="24"/>
        </w:rPr>
      </w:pPr>
      <w:r>
        <w:rPr>
          <w:rFonts w:asciiTheme="minorHAnsi" w:hAnsiTheme="minorHAnsi" w:cstheme="minorHAnsi"/>
          <w:sz w:val="24"/>
          <w:szCs w:val="24"/>
        </w:rPr>
        <w:t xml:space="preserve">Deakin has </w:t>
      </w:r>
      <w:r w:rsidRPr="00C1088D">
        <w:rPr>
          <w:rFonts w:asciiTheme="minorHAnsi" w:hAnsiTheme="minorHAnsi" w:cstheme="minorHAnsi"/>
          <w:sz w:val="24"/>
          <w:szCs w:val="24"/>
        </w:rPr>
        <w:t xml:space="preserve">an excellent reputation for producing highly skilled work-ready, and resilient graduates from a diverse range of backgrounds.  The award-winning </w:t>
      </w:r>
      <w:hyperlink r:id="rId43" w:history="1">
        <w:r w:rsidRPr="00C1088D">
          <w:rPr>
            <w:rStyle w:val="Hyperlink"/>
            <w:rFonts w:asciiTheme="minorHAnsi" w:hAnsiTheme="minorHAnsi" w:cstheme="minorHAnsi"/>
            <w:sz w:val="24"/>
            <w:szCs w:val="24"/>
          </w:rPr>
          <w:t>DeakinTALENT</w:t>
        </w:r>
      </w:hyperlink>
      <w:r w:rsidRPr="00C1088D">
        <w:rPr>
          <w:rFonts w:asciiTheme="minorHAnsi" w:hAnsiTheme="minorHAnsi" w:cstheme="minorHAnsi"/>
          <w:sz w:val="24"/>
          <w:szCs w:val="24"/>
        </w:rPr>
        <w:t xml:space="preserve"> Careers and Employment Service helps employers to connect with Deakin students across a range of areas.  DeakinTALENT </w:t>
      </w:r>
      <w:r w:rsidRPr="00C1088D">
        <w:rPr>
          <w:rFonts w:asciiTheme="minorHAnsi" w:hAnsiTheme="minorHAnsi" w:cstheme="minorHAnsi"/>
          <w:i/>
          <w:iCs/>
          <w:sz w:val="24"/>
          <w:szCs w:val="24"/>
        </w:rPr>
        <w:t xml:space="preserve">“is your Anytime–Anywhere Careers and Employment Service, available to you for the rest of your working life!” </w:t>
      </w:r>
      <w:r w:rsidRPr="00C1088D">
        <w:rPr>
          <w:rFonts w:asciiTheme="minorHAnsi" w:hAnsiTheme="minorHAnsi" w:cstheme="minorHAnsi"/>
          <w:sz w:val="24"/>
          <w:szCs w:val="24"/>
          <w:vertAlign w:val="subscript"/>
        </w:rPr>
        <w:t xml:space="preserve">          </w:t>
      </w:r>
    </w:p>
    <w:p w14:paraId="11B330DE" w14:textId="7806A5C0" w:rsidR="004A786C" w:rsidRPr="003B01D4" w:rsidRDefault="003B01D4" w:rsidP="003B01D4">
      <w:pPr>
        <w:pStyle w:val="NoSpacing"/>
        <w:ind w:left="-340"/>
        <w:rPr>
          <w:rFonts w:asciiTheme="minorHAnsi" w:hAnsiTheme="minorHAnsi" w:cstheme="minorHAnsi"/>
          <w:bCs/>
          <w:sz w:val="24"/>
          <w:szCs w:val="18"/>
        </w:rPr>
      </w:pPr>
      <w:r w:rsidRPr="00C1088D">
        <w:rPr>
          <w:rFonts w:asciiTheme="minorHAnsi" w:hAnsiTheme="minorHAnsi" w:cstheme="minorHAnsi"/>
          <w:sz w:val="24"/>
          <w:szCs w:val="24"/>
          <w:vertAlign w:val="subscript"/>
        </w:rPr>
        <w:br/>
      </w:r>
      <w:r w:rsidRPr="00C1088D">
        <w:rPr>
          <w:rFonts w:asciiTheme="minorHAnsi" w:hAnsiTheme="minorHAnsi" w:cstheme="minorHAnsi"/>
          <w:sz w:val="24"/>
          <w:szCs w:val="24"/>
          <w:vertAlign w:val="subscript"/>
        </w:rPr>
        <w:br/>
        <w:t xml:space="preserve">                                                        </w:t>
      </w:r>
      <w:r w:rsidRPr="00C1088D">
        <w:rPr>
          <w:rFonts w:asciiTheme="minorHAnsi" w:hAnsiTheme="minorHAnsi" w:cstheme="minorHAnsi"/>
          <w:noProof/>
        </w:rPr>
        <w:drawing>
          <wp:inline distT="0" distB="0" distL="0" distR="0" wp14:anchorId="16B51F52" wp14:editId="3D7F4B34">
            <wp:extent cx="3418280" cy="1722120"/>
            <wp:effectExtent l="0" t="0" r="0" b="0"/>
            <wp:docPr id="78" name="Picture 78" descr="Warrnambool | Dea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nambool | Deak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62312" cy="1744303"/>
                    </a:xfrm>
                    <a:prstGeom prst="rect">
                      <a:avLst/>
                    </a:prstGeom>
                    <a:noFill/>
                    <a:ln>
                      <a:noFill/>
                    </a:ln>
                  </pic:spPr>
                </pic:pic>
              </a:graphicData>
            </a:graphic>
          </wp:inline>
        </w:drawing>
      </w:r>
    </w:p>
    <w:sectPr w:rsidR="004A786C" w:rsidRPr="003B01D4" w:rsidSect="00CC4575">
      <w:footerReference w:type="default" r:id="rId4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25410E66" w:rsidR="004859DE" w:rsidRDefault="004859DE" w:rsidP="004859DE">
    <w:pPr>
      <w:pStyle w:val="Footer"/>
      <w:jc w:val="center"/>
    </w:pPr>
    <w:r>
      <w:t xml:space="preserve">Compass Career News </w:t>
    </w:r>
    <w:r>
      <w:rPr>
        <w:rFonts w:ascii="Calibri" w:hAnsi="Calibri" w:cs="Calibri"/>
      </w:rPr>
      <w:t xml:space="preserve">© </w:t>
    </w:r>
    <w:r>
      <w:t>202</w:t>
    </w:r>
    <w:r w:rsidR="00455761">
      <w:t>4</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E3B0D"/>
    <w:multiLevelType w:val="hybridMultilevel"/>
    <w:tmpl w:val="F84410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1"/>
  </w:num>
  <w:num w:numId="3" w16cid:durableId="1446926196">
    <w:abstractNumId w:val="5"/>
  </w:num>
  <w:num w:numId="4" w16cid:durableId="1086271154">
    <w:abstractNumId w:val="2"/>
  </w:num>
  <w:num w:numId="5" w16cid:durableId="2000963079">
    <w:abstractNumId w:val="4"/>
  </w:num>
  <w:num w:numId="6" w16cid:durableId="1783066728">
    <w:abstractNumId w:val="3"/>
  </w:num>
  <w:num w:numId="7" w16cid:durableId="1556888923">
    <w:abstractNumId w:val="11"/>
  </w:num>
  <w:num w:numId="8" w16cid:durableId="716315058">
    <w:abstractNumId w:val="9"/>
  </w:num>
  <w:num w:numId="9" w16cid:durableId="1222129794">
    <w:abstractNumId w:val="8"/>
  </w:num>
  <w:num w:numId="10" w16cid:durableId="1128469029">
    <w:abstractNumId w:val="10"/>
  </w:num>
  <w:num w:numId="11" w16cid:durableId="1701853651">
    <w:abstractNumId w:val="6"/>
  </w:num>
  <w:num w:numId="12" w16cid:durableId="148296198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B1B"/>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1D4"/>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38C"/>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86C"/>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38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21D"/>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207"/>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B09"/>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1A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0B"/>
    <w:rsid w:val="00B250C1"/>
    <w:rsid w:val="00B25B85"/>
    <w:rsid w:val="00B265BF"/>
    <w:rsid w:val="00B26F43"/>
    <w:rsid w:val="00B2733D"/>
    <w:rsid w:val="00B2769F"/>
    <w:rsid w:val="00B2780D"/>
    <w:rsid w:val="00B27F86"/>
    <w:rsid w:val="00B30527"/>
    <w:rsid w:val="00B305B8"/>
    <w:rsid w:val="00B30673"/>
    <w:rsid w:val="00B30A7D"/>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B5E"/>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358"/>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15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05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1F2"/>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2059200">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91315">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541808">
      <w:bodyDiv w:val="1"/>
      <w:marLeft w:val="0"/>
      <w:marRight w:val="0"/>
      <w:marTop w:val="0"/>
      <w:marBottom w:val="0"/>
      <w:divBdr>
        <w:top w:val="none" w:sz="0" w:space="0" w:color="auto"/>
        <w:left w:val="none" w:sz="0" w:space="0" w:color="auto"/>
        <w:bottom w:val="none" w:sz="0" w:space="0" w:color="auto"/>
        <w:right w:val="none" w:sz="0" w:space="0" w:color="auto"/>
      </w:divBdr>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onash.edu/discover/events/campus-experience/clayton-campus-tour-11-april" TargetMode="External"/><Relationship Id="rId18" Type="http://schemas.openxmlformats.org/officeDocument/2006/relationships/hyperlink" Target="https://www.monash.edu/engineering/current-students/professional-practice?utm_campaign=MUPDAT_UMC&amp;utm_source=Newsletter&amp;utm_medium=email&amp;utm_content=edition1_ENG_1" TargetMode="External"/><Relationship Id="rId26" Type="http://schemas.openxmlformats.org/officeDocument/2006/relationships/image" Target="media/image6.jpeg"/><Relationship Id="rId39" Type="http://schemas.openxmlformats.org/officeDocument/2006/relationships/hyperlink" Target="https://www.deakin.edu.au/course/doctor-medicine"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deakin.edu.au/about-deakin" TargetMode="External"/><Relationship Id="rId42" Type="http://schemas.openxmlformats.org/officeDocument/2006/relationships/hyperlink" Target="http://this.deakin.edu.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ash.edu/discover/events/year-10-discovery-day" TargetMode="External"/><Relationship Id="rId17" Type="http://schemas.openxmlformats.org/officeDocument/2006/relationships/hyperlink" Target="https://www.monash.edu/business/future-students/undergraduate-study-options/sustainability?utm_campaign=MUPDAT_UMC&amp;utm_source=Newsletter&amp;utm_medium=email&amp;utm_content=edition1_BUS_1" TargetMode="External"/><Relationship Id="rId25" Type="http://schemas.openxmlformats.org/officeDocument/2006/relationships/hyperlink" Target="https://www.vic.gov.au/scholarships-secondary-teaching-degrees" TargetMode="External"/><Relationship Id="rId33" Type="http://schemas.openxmlformats.org/officeDocument/2006/relationships/hyperlink" Target="https://www.deakin.edu.au/life-at-deakin/our-locations" TargetMode="External"/><Relationship Id="rId38" Type="http://schemas.openxmlformats.org/officeDocument/2006/relationships/hyperlink" Target="http://www.deakin.edu.au/about-deakin/faculties-and-school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nash.edu/discover/events/campus-experience/clayton-campus-tour-12-april" TargetMode="External"/><Relationship Id="rId20" Type="http://schemas.openxmlformats.org/officeDocument/2006/relationships/hyperlink" Target="https://info.boxhill.edu.au/talk-and-tours/" TargetMode="External"/><Relationship Id="rId29" Type="http://schemas.openxmlformats.org/officeDocument/2006/relationships/hyperlink" Target="https://study.unimelb.edu.au/find/courses/graduate/master-of-urban-planning" TargetMode="External"/><Relationship Id="rId41" Type="http://schemas.openxmlformats.org/officeDocument/2006/relationships/hyperlink" Target="http://www.deakin.edu.au/study-at-deakin/international-students/study-abroad-and-exch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ash.edu/discover/events/events-calendar" TargetMode="External"/><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hyperlink" Target="https://www.shanghairanking.com/rankings/grsssd/2023" TargetMode="External"/><Relationship Id="rId40" Type="http://schemas.openxmlformats.org/officeDocument/2006/relationships/hyperlink" Target="https://www.deakin.edu.au/study/study-onlin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onash.edu/discover/events/campus-experience/caulfield-campus-tour-12-april" TargetMode="External"/><Relationship Id="rId23" Type="http://schemas.openxmlformats.org/officeDocument/2006/relationships/hyperlink" Target="https://www.youtube.com/watch?v=WOK9N_SQAe8&amp;t=4s" TargetMode="External"/><Relationship Id="rId28" Type="http://schemas.openxmlformats.org/officeDocument/2006/relationships/hyperlink" Target="https://study.unimelb.edu.au/find/courses/major/urban-planning/" TargetMode="External"/><Relationship Id="rId36" Type="http://schemas.openxmlformats.org/officeDocument/2006/relationships/hyperlink" Target="https://www.afr.com/lists/best-universities-ranking" TargetMode="External"/><Relationship Id="rId10" Type="http://schemas.openxmlformats.org/officeDocument/2006/relationships/hyperlink" Target="https://www.monash.edu/discover" TargetMode="External"/><Relationship Id="rId19" Type="http://schemas.openxmlformats.org/officeDocument/2006/relationships/image" Target="media/image3.png"/><Relationship Id="rId31" Type="http://schemas.openxmlformats.org/officeDocument/2006/relationships/hyperlink" Target="http://www.vtac.edu.au/" TargetMode="External"/><Relationship Id="rId44"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monash.edu/discover/events/campus-experience/peninsula-campus-tour-11-april" TargetMode="External"/><Relationship Id="rId22" Type="http://schemas.openxmlformats.org/officeDocument/2006/relationships/hyperlink" Target="https://www.actuaries.asn.au/becoming-an-actuary/what-does-an-actuary-do" TargetMode="External"/><Relationship Id="rId27" Type="http://schemas.openxmlformats.org/officeDocument/2006/relationships/hyperlink" Target="https://study.unimelb.edu.au/find/courses/undergraduate/bachelor-of-design/" TargetMode="External"/><Relationship Id="rId30" Type="http://schemas.openxmlformats.org/officeDocument/2006/relationships/image" Target="media/image7.gif"/><Relationship Id="rId35" Type="http://schemas.openxmlformats.org/officeDocument/2006/relationships/hyperlink" Target="https://www.deakin.edu.au/about-deakin/why-deakin" TargetMode="External"/><Relationship Id="rId43" Type="http://schemas.openxmlformats.org/officeDocument/2006/relationships/hyperlink" Target="http://deakintalent.deakin.edu.au/?_ga=2.126443208.41756736.1546220045-533099343.1477986563"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15116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17307</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2024-02-22T19:16:00Z</dcterms:created>
  <dcterms:modified xsi:type="dcterms:W3CDTF">2024-02-22T19:16:00Z</dcterms:modified>
</cp:coreProperties>
</file>