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C19F" w14:textId="3C14030A"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4D3FC8">
        <w:rPr>
          <w:rFonts w:ascii="Calibri" w:hAnsi="Calibri" w:cs="Calibri"/>
          <w:b/>
          <w:sz w:val="32"/>
        </w:rPr>
        <w:t xml:space="preserve">Friday </w:t>
      </w:r>
      <w:r w:rsidR="006D28EF">
        <w:rPr>
          <w:rFonts w:ascii="Calibri" w:hAnsi="Calibri" w:cs="Calibri"/>
          <w:b/>
          <w:sz w:val="32"/>
        </w:rPr>
        <w:t>8</w:t>
      </w:r>
      <w:r w:rsidR="00662543">
        <w:rPr>
          <w:rFonts w:ascii="Calibri" w:hAnsi="Calibri" w:cs="Calibri"/>
          <w:b/>
          <w:sz w:val="32"/>
        </w:rPr>
        <w:t xml:space="preserve"> November</w:t>
      </w:r>
      <w:r w:rsidR="00AC1B51">
        <w:rPr>
          <w:rFonts w:cs="Calibri"/>
          <w:b/>
          <w:sz w:val="28"/>
          <w:szCs w:val="34"/>
          <w:u w:val="single"/>
        </w:rPr>
        <w:br/>
      </w:r>
      <w:r w:rsidR="007C03F2">
        <w:rPr>
          <w:rFonts w:cs="Calibri"/>
          <w:b/>
          <w:sz w:val="18"/>
          <w:u w:val="single"/>
        </w:rPr>
        <w:br/>
      </w:r>
    </w:p>
    <w:p w14:paraId="189CCC8A" w14:textId="4D14AC4E"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D865C3">
        <w:rPr>
          <w:rFonts w:cs="Calibri"/>
          <w:b/>
          <w:sz w:val="28"/>
          <w:szCs w:val="24"/>
          <w:u w:val="single"/>
        </w:rPr>
        <w:t>4</w:t>
      </w:r>
    </w:p>
    <w:p w14:paraId="69E64405" w14:textId="7566974A" w:rsidR="00E942F0" w:rsidRPr="00F575F6" w:rsidRDefault="00342918" w:rsidP="004139AA">
      <w:pPr>
        <w:pStyle w:val="NoSpacing"/>
        <w:numPr>
          <w:ilvl w:val="0"/>
          <w:numId w:val="1"/>
        </w:numPr>
        <w:rPr>
          <w:rFonts w:cs="Calibri"/>
          <w:sz w:val="24"/>
          <w:szCs w:val="24"/>
        </w:rPr>
      </w:pPr>
      <w:r>
        <w:rPr>
          <w:noProof/>
        </w:rPr>
        <w:pict w14:anchorId="6B2A83A8">
          <v:shapetype id="_x0000_t202" coordsize="21600,21600" o:spt="202" path="m,l,21600r21600,l21600,xe">
            <v:stroke joinstyle="miter"/>
            <v:path gradientshapeok="t" o:connecttype="rect"/>
          </v:shapetype>
          <v:shape id="Text Box 249356796" o:spid="_x0000_s1027" type="#_x0000_t202" style="position:absolute;left:0;text-align:left;margin-left:9.75pt;margin-top:27.55pt;width:456pt;height:255pt;z-index:251661312;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" fillcolor="#d9dfef [660]" strokecolor="#376092" strokeweight="2pt">
            <v:textbox>
              <w:txbxContent>
                <w:p w14:paraId="320F2D7D" w14:textId="45399979" w:rsidR="00B83EC9" w:rsidRPr="00B83EC9" w:rsidRDefault="00B83EC9" w:rsidP="00B83EC9">
                  <w:pPr>
                    <w:jc w:val="center"/>
                    <w:rPr>
                      <w:rFonts w:ascii="Calibri" w:hAnsi="Calibri" w:cs="Calibri"/>
                      <w:b/>
                      <w:sz w:val="10"/>
                      <w:szCs w:val="6"/>
                      <w:highlight w:val="yellow"/>
                      <w:u w:val="single"/>
                    </w:rPr>
                  </w:pPr>
                  <w:r w:rsidRPr="00987367">
                    <w:rPr>
                      <w:noProof/>
                    </w:rPr>
                    <w:drawing>
                      <wp:inline distT="0" distB="0" distL="0" distR="0" wp14:anchorId="0C359249" wp14:editId="7E39AA65">
                        <wp:extent cx="704850" cy="762816"/>
                        <wp:effectExtent l="0" t="0" r="0" b="0"/>
                        <wp:docPr id="318917714" name="Picture 31891771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685040">
                    <w:rPr>
                      <w:rFonts w:ascii="Calibri" w:hAnsi="Calibri" w:cs="Calibri"/>
                      <w:b/>
                      <w:sz w:val="28"/>
                    </w:rPr>
                    <w:t xml:space="preserve"> </w:t>
                  </w:r>
                  <w:r w:rsidRPr="00987367">
                    <w:rPr>
                      <w:rFonts w:ascii="Calibri" w:hAnsi="Calibri" w:cs="Calibri"/>
                      <w:b/>
                      <w:sz w:val="28"/>
                      <w:u w:val="single"/>
                    </w:rPr>
                    <w:t>Reminder: VTAC 2025 Upcoming Key Dates</w:t>
                  </w:r>
                  <w:r w:rsidRPr="00685040">
                    <w:rPr>
                      <w:rFonts w:ascii="Calibri" w:hAnsi="Calibri" w:cs="Calibri"/>
                      <w:b/>
                      <w:sz w:val="28"/>
                    </w:rPr>
                    <w:t xml:space="preserve">  </w:t>
                  </w:r>
                  <w:r w:rsidRPr="00987367">
                    <w:rPr>
                      <w:noProof/>
                    </w:rPr>
                    <w:drawing>
                      <wp:inline distT="0" distB="0" distL="0" distR="0" wp14:anchorId="054AE785" wp14:editId="25A0927D">
                        <wp:extent cx="704850" cy="762816"/>
                        <wp:effectExtent l="0" t="0" r="0" b="0"/>
                        <wp:docPr id="1839789464" name="Picture 183978946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83EC9">
                    <w:rPr>
                      <w:rFonts w:ascii="Calibri" w:hAnsi="Calibri" w:cs="Calibri"/>
                      <w:b/>
                      <w:sz w:val="28"/>
                      <w:highlight w:val="yellow"/>
                      <w:u w:val="single"/>
                    </w:rPr>
                    <w:br/>
                  </w:r>
                </w:p>
                <w:tbl>
                  <w:tblPr>
                    <w:tblStyle w:val="TableGrid"/>
                    <w:tblW w:w="8784" w:type="dxa"/>
                    <w:tblLook w:val="04A0" w:firstRow="1" w:lastRow="0" w:firstColumn="1" w:lastColumn="0" w:noHBand="0" w:noVBand="1"/>
                  </w:tblPr>
                  <w:tblGrid>
                    <w:gridCol w:w="4531"/>
                    <w:gridCol w:w="4253"/>
                  </w:tblGrid>
                  <w:tr w:rsidR="00B83EC9" w:rsidRPr="00B83EC9" w14:paraId="63C96427" w14:textId="77777777" w:rsidTr="00A877AE">
                    <w:tc>
                      <w:tcPr>
                        <w:tcW w:w="4531" w:type="dxa"/>
                      </w:tcPr>
                      <w:p w14:paraId="058E86C9"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VTAC Personal Statement</w:t>
                        </w:r>
                      </w:p>
                    </w:tc>
                    <w:tc>
                      <w:tcPr>
                        <w:tcW w:w="4253" w:type="dxa"/>
                      </w:tcPr>
                      <w:p w14:paraId="47D57A80" w14:textId="4AF938B6" w:rsidR="00B83EC9" w:rsidRPr="00F408BA" w:rsidRDefault="00B83EC9" w:rsidP="00B202CE">
                        <w:pPr>
                          <w:rPr>
                            <w:rFonts w:asciiTheme="minorHAnsi" w:hAnsiTheme="minorHAnsi" w:cstheme="minorHAnsi"/>
                          </w:rPr>
                        </w:pPr>
                        <w:r w:rsidRPr="00F408BA">
                          <w:rPr>
                            <w:rFonts w:asciiTheme="minorHAnsi" w:hAnsiTheme="minorHAnsi" w:cstheme="minorHAnsi"/>
                          </w:rPr>
                          <w:t xml:space="preserve">Friday </w:t>
                        </w:r>
                        <w:r w:rsidR="00F408BA" w:rsidRPr="00F408BA">
                          <w:rPr>
                            <w:rFonts w:asciiTheme="minorHAnsi" w:hAnsiTheme="minorHAnsi" w:cstheme="minorHAnsi"/>
                          </w:rPr>
                          <w:t>6</w:t>
                        </w:r>
                        <w:r w:rsidRPr="00F408BA">
                          <w:rPr>
                            <w:rFonts w:asciiTheme="minorHAnsi" w:hAnsiTheme="minorHAnsi" w:cstheme="minorHAnsi"/>
                          </w:rPr>
                          <w:t xml:space="preserve"> December 202</w:t>
                        </w:r>
                        <w:r w:rsidR="00F408BA" w:rsidRPr="00F408BA">
                          <w:rPr>
                            <w:rFonts w:asciiTheme="minorHAnsi" w:hAnsiTheme="minorHAnsi" w:cstheme="minorHAnsi"/>
                          </w:rPr>
                          <w:t>4</w:t>
                        </w:r>
                      </w:p>
                    </w:tc>
                  </w:tr>
                  <w:tr w:rsidR="00B83EC9" w:rsidRPr="00B83EC9" w14:paraId="517201DC" w14:textId="77777777" w:rsidTr="00A877AE">
                    <w:tc>
                      <w:tcPr>
                        <w:tcW w:w="4531" w:type="dxa"/>
                      </w:tcPr>
                      <w:p w14:paraId="40141C56"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ATARs Released</w:t>
                        </w:r>
                      </w:p>
                    </w:tc>
                    <w:tc>
                      <w:tcPr>
                        <w:tcW w:w="4253" w:type="dxa"/>
                      </w:tcPr>
                      <w:p w14:paraId="5E8FE5DC" w14:textId="22DC3109" w:rsidR="00B83EC9" w:rsidRPr="00B83EC9" w:rsidRDefault="00B83EC9" w:rsidP="00B202CE">
                        <w:pPr>
                          <w:rPr>
                            <w:rFonts w:asciiTheme="minorHAnsi" w:hAnsiTheme="minorHAnsi" w:cstheme="minorHAnsi"/>
                          </w:rPr>
                        </w:pPr>
                        <w:r>
                          <w:rPr>
                            <w:rFonts w:asciiTheme="minorHAnsi" w:hAnsiTheme="minorHAnsi" w:cstheme="minorHAnsi"/>
                          </w:rPr>
                          <w:t>Thursday 12</w:t>
                        </w:r>
                        <w:r w:rsidRPr="00B83EC9">
                          <w:rPr>
                            <w:rFonts w:asciiTheme="minorHAnsi" w:hAnsiTheme="minorHAnsi" w:cstheme="minorHAnsi"/>
                          </w:rPr>
                          <w:t xml:space="preserve"> December 202</w:t>
                        </w:r>
                        <w:r>
                          <w:rPr>
                            <w:rFonts w:asciiTheme="minorHAnsi" w:hAnsiTheme="minorHAnsi" w:cstheme="minorHAnsi"/>
                          </w:rPr>
                          <w:t>4</w:t>
                        </w:r>
                      </w:p>
                    </w:tc>
                  </w:tr>
                  <w:tr w:rsidR="00B83EC9" w:rsidRPr="00B83EC9" w14:paraId="42B4DEFA" w14:textId="77777777" w:rsidTr="00A877AE">
                    <w:tc>
                      <w:tcPr>
                        <w:tcW w:w="4531" w:type="dxa"/>
                      </w:tcPr>
                      <w:p w14:paraId="1DBE4611"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Change of Preference (CoP) closes</w:t>
                        </w:r>
                      </w:p>
                    </w:tc>
                    <w:tc>
                      <w:tcPr>
                        <w:tcW w:w="4253" w:type="dxa"/>
                      </w:tcPr>
                      <w:p w14:paraId="2792B84B" w14:textId="51B0D040" w:rsidR="00B83EC9" w:rsidRPr="00F408BA" w:rsidRDefault="00B83EC9" w:rsidP="00B202CE">
                        <w:pPr>
                          <w:rPr>
                            <w:rFonts w:asciiTheme="minorHAnsi" w:hAnsiTheme="minorHAnsi" w:cstheme="minorHAnsi"/>
                          </w:rPr>
                        </w:pPr>
                        <w:r w:rsidRPr="00F408BA">
                          <w:rPr>
                            <w:rFonts w:asciiTheme="minorHAnsi" w:hAnsiTheme="minorHAnsi" w:cstheme="minorHAnsi"/>
                          </w:rPr>
                          <w:t>Saturday 14 December 2024</w:t>
                        </w:r>
                      </w:p>
                    </w:tc>
                  </w:tr>
                  <w:tr w:rsidR="00B83EC9" w:rsidRPr="00B83EC9" w14:paraId="5089BB6F" w14:textId="77777777" w:rsidTr="00A877AE">
                    <w:tc>
                      <w:tcPr>
                        <w:tcW w:w="4531" w:type="dxa"/>
                      </w:tcPr>
                      <w:p w14:paraId="2FDAEC78"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December Round Offers</w:t>
                        </w:r>
                      </w:p>
                    </w:tc>
                    <w:tc>
                      <w:tcPr>
                        <w:tcW w:w="4253" w:type="dxa"/>
                      </w:tcPr>
                      <w:p w14:paraId="7CAE94A7" w14:textId="477F2D85" w:rsidR="00B83EC9" w:rsidRPr="00B83EC9" w:rsidRDefault="00B83EC9" w:rsidP="00B202CE">
                        <w:pPr>
                          <w:rPr>
                            <w:rFonts w:asciiTheme="minorHAnsi" w:hAnsiTheme="minorHAnsi" w:cstheme="minorHAnsi"/>
                          </w:rPr>
                        </w:pPr>
                        <w:r w:rsidRPr="00B83EC9">
                          <w:rPr>
                            <w:rFonts w:asciiTheme="minorHAnsi" w:hAnsiTheme="minorHAnsi" w:cstheme="minorHAnsi"/>
                          </w:rPr>
                          <w:t>Monday 23 December 2024</w:t>
                        </w:r>
                      </w:p>
                    </w:tc>
                  </w:tr>
                  <w:tr w:rsidR="00B83EC9" w:rsidRPr="00B83EC9" w14:paraId="00074A15" w14:textId="77777777" w:rsidTr="00A877AE">
                    <w:tc>
                      <w:tcPr>
                        <w:tcW w:w="4531" w:type="dxa"/>
                      </w:tcPr>
                      <w:p w14:paraId="4EE87966"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January Round International Offers</w:t>
                        </w:r>
                      </w:p>
                    </w:tc>
                    <w:tc>
                      <w:tcPr>
                        <w:tcW w:w="4253" w:type="dxa"/>
                      </w:tcPr>
                      <w:p w14:paraId="4786235C" w14:textId="7E9F172E" w:rsidR="00B83EC9" w:rsidRPr="00B83EC9" w:rsidRDefault="00B83EC9" w:rsidP="00B202CE">
                        <w:pPr>
                          <w:rPr>
                            <w:rFonts w:asciiTheme="minorHAnsi" w:hAnsiTheme="minorHAnsi" w:cstheme="minorHAnsi"/>
                          </w:rPr>
                        </w:pPr>
                        <w:r w:rsidRPr="00B83EC9">
                          <w:rPr>
                            <w:rFonts w:asciiTheme="minorHAnsi" w:hAnsiTheme="minorHAnsi" w:cstheme="minorHAnsi"/>
                          </w:rPr>
                          <w:t>Monday 6 January 2025</w:t>
                        </w:r>
                      </w:p>
                    </w:tc>
                  </w:tr>
                  <w:tr w:rsidR="00B83EC9" w:rsidRPr="00B83EC9" w14:paraId="55ABB8BF" w14:textId="77777777" w:rsidTr="00A877AE">
                    <w:tc>
                      <w:tcPr>
                        <w:tcW w:w="4531" w:type="dxa"/>
                      </w:tcPr>
                      <w:p w14:paraId="32B1A9F2"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January Round Domestic Offers</w:t>
                        </w:r>
                      </w:p>
                    </w:tc>
                    <w:tc>
                      <w:tcPr>
                        <w:tcW w:w="4253" w:type="dxa"/>
                      </w:tcPr>
                      <w:p w14:paraId="64D18A18" w14:textId="28A8CEE7" w:rsidR="00B83EC9" w:rsidRPr="00B83EC9" w:rsidRDefault="00B83EC9" w:rsidP="00B202CE">
                        <w:pPr>
                          <w:rPr>
                            <w:rFonts w:asciiTheme="minorHAnsi" w:hAnsiTheme="minorHAnsi" w:cstheme="minorHAnsi"/>
                          </w:rPr>
                        </w:pPr>
                        <w:r w:rsidRPr="00B83EC9">
                          <w:rPr>
                            <w:rFonts w:asciiTheme="minorHAnsi" w:hAnsiTheme="minorHAnsi" w:cstheme="minorHAnsi"/>
                          </w:rPr>
                          <w:t>Friday 10 January 2025</w:t>
                        </w:r>
                      </w:p>
                    </w:tc>
                  </w:tr>
                  <w:tr w:rsidR="00B83EC9" w:rsidRPr="00B83EC9" w14:paraId="6D6F2C54" w14:textId="77777777" w:rsidTr="00A877AE">
                    <w:tc>
                      <w:tcPr>
                        <w:tcW w:w="4531" w:type="dxa"/>
                      </w:tcPr>
                      <w:p w14:paraId="37DB6528"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 xml:space="preserve">February Offer Rounds </w:t>
                        </w:r>
                      </w:p>
                    </w:tc>
                    <w:tc>
                      <w:tcPr>
                        <w:tcW w:w="4253" w:type="dxa"/>
                      </w:tcPr>
                      <w:p w14:paraId="76C48D57" w14:textId="15BFCCE4" w:rsidR="00B83EC9" w:rsidRPr="00F408BA" w:rsidRDefault="00B83EC9" w:rsidP="00B202CE">
                        <w:pPr>
                          <w:rPr>
                            <w:rFonts w:asciiTheme="minorHAnsi" w:hAnsiTheme="minorHAnsi" w:cstheme="minorHAnsi"/>
                          </w:rPr>
                        </w:pPr>
                        <w:r w:rsidRPr="00F408BA">
                          <w:rPr>
                            <w:rFonts w:asciiTheme="minorHAnsi" w:hAnsiTheme="minorHAnsi" w:cstheme="minorHAnsi"/>
                          </w:rPr>
                          <w:t xml:space="preserve">Tuesday </w:t>
                        </w:r>
                        <w:r w:rsidR="00F408BA" w:rsidRPr="00F408BA">
                          <w:rPr>
                            <w:rFonts w:asciiTheme="minorHAnsi" w:hAnsiTheme="minorHAnsi" w:cstheme="minorHAnsi"/>
                          </w:rPr>
                          <w:t>4</w:t>
                        </w:r>
                        <w:r w:rsidRPr="00F408BA">
                          <w:rPr>
                            <w:rFonts w:asciiTheme="minorHAnsi" w:hAnsiTheme="minorHAnsi" w:cstheme="minorHAnsi"/>
                          </w:rPr>
                          <w:t xml:space="preserve"> February 202</w:t>
                        </w:r>
                        <w:r w:rsidR="00F408BA" w:rsidRPr="00F408BA">
                          <w:rPr>
                            <w:rFonts w:asciiTheme="minorHAnsi" w:hAnsiTheme="minorHAnsi" w:cstheme="minorHAnsi"/>
                          </w:rPr>
                          <w:t>5</w:t>
                        </w:r>
                        <w:r w:rsidRPr="00F408BA">
                          <w:rPr>
                            <w:rFonts w:asciiTheme="minorHAnsi" w:hAnsiTheme="minorHAnsi" w:cstheme="minorHAnsi"/>
                          </w:rPr>
                          <w:t xml:space="preserve"> onwards</w:t>
                        </w:r>
                      </w:p>
                    </w:tc>
                  </w:tr>
                </w:tbl>
                <w:p w14:paraId="5D0477BE" w14:textId="7A240730" w:rsidR="00B83EC9" w:rsidRPr="00F408BA" w:rsidRDefault="00B83EC9" w:rsidP="00B202CE">
                  <w:pPr>
                    <w:rPr>
                      <w:rFonts w:asciiTheme="minorHAnsi" w:eastAsia="Times New Roman" w:hAnsiTheme="minorHAnsi" w:cstheme="minorHAnsi"/>
                      <w:b/>
                      <w:lang w:val="en-US" w:eastAsia="zh-CN"/>
                    </w:rPr>
                  </w:pPr>
                  <w:r w:rsidRPr="00B83EC9">
                    <w:rPr>
                      <w:rFonts w:ascii="Calibri" w:hAnsi="Calibri" w:cs="Calibri"/>
                      <w:highlight w:val="yellow"/>
                    </w:rPr>
                    <w:br/>
                  </w:r>
                  <w:r w:rsidRPr="00B83EC9">
                    <w:rPr>
                      <w:rFonts w:asciiTheme="minorHAnsi" w:eastAsia="Times New Roman" w:hAnsiTheme="minorHAnsi" w:cstheme="minorHAnsi"/>
                      <w:b/>
                      <w:lang w:val="en-US" w:eastAsia="zh-CN"/>
                    </w:rPr>
                    <w:t xml:space="preserve">For a full list of cancelled, amended, and new courses, visit </w:t>
                  </w:r>
                  <w:hyperlink r:id="rId10" w:history="1">
                    <w:r w:rsidRPr="00B83EC9">
                      <w:rPr>
                        <w:rStyle w:val="Hyperlink"/>
                        <w:rFonts w:asciiTheme="minorHAnsi" w:hAnsiTheme="minorHAnsi" w:cstheme="minorHAnsi"/>
                        <w:b/>
                      </w:rPr>
                      <w:t>VTAC Course Updates</w:t>
                    </w:r>
                  </w:hyperlink>
                  <w:r w:rsidR="00F408BA">
                    <w:rPr>
                      <w:rStyle w:val="Hyperlink"/>
                      <w:rFonts w:asciiTheme="minorHAnsi" w:hAnsiTheme="minorHAnsi" w:cstheme="minorHAnsi"/>
                      <w:b/>
                      <w:u w:val="none"/>
                    </w:rPr>
                    <w:t>.</w:t>
                  </w:r>
                </w:p>
                <w:p w14:paraId="0F729D27" w14:textId="77777777" w:rsidR="00B83EC9" w:rsidRPr="00B83EC9" w:rsidRDefault="00B83EC9" w:rsidP="00B83EC9">
                  <w:pPr>
                    <w:jc w:val="center"/>
                    <w:rPr>
                      <w:rFonts w:ascii="Calibri" w:hAnsi="Calibri"/>
                      <w:b/>
                      <w:lang w:val="en-US"/>
                    </w:rPr>
                  </w:pPr>
                </w:p>
                <w:p w14:paraId="3B038E93" w14:textId="77777777" w:rsidR="00B83EC9" w:rsidRPr="009A3335" w:rsidRDefault="00B83EC9" w:rsidP="00B83EC9">
                  <w:pPr>
                    <w:jc w:val="center"/>
                    <w:rPr>
                      <w:rFonts w:ascii="Calibri" w:hAnsi="Calibri" w:cs="Calibri"/>
                      <w:b/>
                      <w:sz w:val="28"/>
                      <w:u w:val="single"/>
                    </w:rPr>
                  </w:pPr>
                  <w:r w:rsidRPr="00B83EC9">
                    <w:rPr>
                      <w:rFonts w:ascii="Calibri" w:hAnsi="Calibri"/>
                      <w:b/>
                    </w:rPr>
                    <w:t xml:space="preserve">The VTAC website is </w:t>
                  </w:r>
                  <w:hyperlink r:id="rId11" w:history="1">
                    <w:r w:rsidRPr="00B83EC9">
                      <w:rPr>
                        <w:rStyle w:val="Hyperlink"/>
                        <w:rFonts w:ascii="Calibri" w:hAnsi="Calibri"/>
                        <w:b/>
                      </w:rPr>
                      <w:t>www.vtac.edu.au</w:t>
                    </w:r>
                  </w:hyperlink>
                </w:p>
              </w:txbxContent>
            </v:textbox>
            <w10:wrap anchorx="margin"/>
          </v:shape>
        </w:pict>
      </w:r>
      <w:r w:rsidR="00E942F0" w:rsidRPr="00F575F6">
        <w:rPr>
          <w:rFonts w:cs="Calibri"/>
          <w:b/>
          <w:sz w:val="24"/>
          <w:szCs w:val="24"/>
        </w:rPr>
        <w:t xml:space="preserve">Year 12 VTAC </w:t>
      </w:r>
      <w:r w:rsidR="006D28EF">
        <w:rPr>
          <w:rFonts w:cs="Calibri"/>
          <w:b/>
          <w:sz w:val="24"/>
          <w:szCs w:val="24"/>
        </w:rPr>
        <w:t xml:space="preserve">very </w:t>
      </w:r>
      <w:r w:rsidR="00B83EC9">
        <w:rPr>
          <w:rFonts w:cs="Calibri"/>
          <w:b/>
          <w:sz w:val="24"/>
          <w:szCs w:val="24"/>
        </w:rPr>
        <w:t xml:space="preserve">late </w:t>
      </w:r>
      <w:r w:rsidR="00E942F0" w:rsidRPr="00F575F6">
        <w:rPr>
          <w:rFonts w:cs="Calibri"/>
          <w:b/>
          <w:sz w:val="24"/>
          <w:szCs w:val="24"/>
        </w:rPr>
        <w:t xml:space="preserve">applications </w:t>
      </w:r>
      <w:r w:rsidR="00E942F0" w:rsidRPr="00F575F6">
        <w:rPr>
          <w:rFonts w:cs="Calibri"/>
          <w:sz w:val="24"/>
          <w:szCs w:val="24"/>
        </w:rPr>
        <w:t xml:space="preserve">– </w:t>
      </w:r>
      <w:r w:rsidR="00B83EC9">
        <w:rPr>
          <w:rFonts w:cs="Calibri"/>
          <w:sz w:val="24"/>
          <w:szCs w:val="24"/>
        </w:rPr>
        <w:t>1 November</w:t>
      </w:r>
      <w:r w:rsidR="006D28EF">
        <w:rPr>
          <w:rFonts w:cs="Calibri"/>
          <w:sz w:val="24"/>
          <w:szCs w:val="24"/>
        </w:rPr>
        <w:t xml:space="preserve"> to 6 December</w:t>
      </w:r>
      <w:r w:rsidR="000C1D71">
        <w:rPr>
          <w:rFonts w:cs="Calibri"/>
          <w:sz w:val="24"/>
          <w:szCs w:val="24"/>
        </w:rPr>
        <w:br/>
      </w:r>
    </w:p>
    <w:p w14:paraId="09B59603" w14:textId="47D99BC3" w:rsidR="00D865C3" w:rsidRDefault="00D865C3" w:rsidP="00D865C3">
      <w:pPr>
        <w:pStyle w:val="NoSpacing"/>
        <w:rPr>
          <w:rFonts w:cs="Calibri"/>
          <w:b/>
          <w:sz w:val="28"/>
          <w:szCs w:val="24"/>
          <w:u w:val="single"/>
        </w:rPr>
      </w:pPr>
    </w:p>
    <w:p w14:paraId="78DE817B" w14:textId="77777777" w:rsidR="00AA5613" w:rsidRDefault="00AA5613" w:rsidP="00D865C3">
      <w:pPr>
        <w:pStyle w:val="NoSpacing"/>
        <w:rPr>
          <w:rFonts w:cs="Calibri"/>
          <w:b/>
          <w:sz w:val="28"/>
          <w:szCs w:val="24"/>
          <w:u w:val="single"/>
        </w:rPr>
      </w:pPr>
    </w:p>
    <w:p w14:paraId="7CB5B6A5" w14:textId="1287BA1B" w:rsidR="00D865C3" w:rsidRDefault="00D865C3" w:rsidP="00D865C3">
      <w:pPr>
        <w:pStyle w:val="NoSpacing"/>
        <w:rPr>
          <w:rFonts w:cs="Calibri"/>
          <w:b/>
          <w:sz w:val="28"/>
          <w:szCs w:val="24"/>
          <w:u w:val="single"/>
        </w:rPr>
      </w:pPr>
    </w:p>
    <w:p w14:paraId="35EB45D8" w14:textId="0BE52424" w:rsidR="00B83EC9" w:rsidRDefault="00B83EC9" w:rsidP="00D865C3">
      <w:pPr>
        <w:pStyle w:val="NoSpacing"/>
        <w:rPr>
          <w:rFonts w:cs="Calibri"/>
          <w:b/>
          <w:sz w:val="28"/>
          <w:szCs w:val="24"/>
          <w:u w:val="single"/>
        </w:rPr>
      </w:pPr>
    </w:p>
    <w:p w14:paraId="7F427C66" w14:textId="77777777" w:rsidR="00987367" w:rsidRDefault="00987367" w:rsidP="00987367">
      <w:pPr>
        <w:jc w:val="both"/>
        <w:rPr>
          <w:rStyle w:val="Heading1Char"/>
          <w:rFonts w:ascii="Calibri" w:hAnsi="Calibri"/>
          <w:sz w:val="28"/>
          <w:u w:val="single"/>
        </w:rPr>
      </w:pPr>
    </w:p>
    <w:p w14:paraId="2BAABA08" w14:textId="77777777" w:rsidR="00987367" w:rsidRDefault="00987367" w:rsidP="00987367">
      <w:pPr>
        <w:jc w:val="both"/>
        <w:rPr>
          <w:rStyle w:val="Heading1Char"/>
          <w:rFonts w:ascii="Calibri" w:hAnsi="Calibri"/>
          <w:sz w:val="28"/>
          <w:u w:val="single"/>
        </w:rPr>
      </w:pPr>
    </w:p>
    <w:p w14:paraId="1FA0749B" w14:textId="77777777" w:rsidR="00987367" w:rsidRDefault="00987367" w:rsidP="00987367">
      <w:pPr>
        <w:jc w:val="both"/>
        <w:rPr>
          <w:rStyle w:val="Heading1Char"/>
          <w:rFonts w:ascii="Calibri" w:hAnsi="Calibri"/>
          <w:sz w:val="28"/>
          <w:u w:val="single"/>
        </w:rPr>
      </w:pPr>
    </w:p>
    <w:p w14:paraId="22B7812F" w14:textId="77777777" w:rsidR="00987367" w:rsidRDefault="00987367" w:rsidP="00987367">
      <w:pPr>
        <w:jc w:val="both"/>
        <w:rPr>
          <w:rStyle w:val="Heading1Char"/>
          <w:rFonts w:ascii="Calibri" w:hAnsi="Calibri"/>
          <w:sz w:val="28"/>
          <w:u w:val="single"/>
        </w:rPr>
      </w:pPr>
    </w:p>
    <w:p w14:paraId="5FEF270D" w14:textId="77777777" w:rsidR="00987367" w:rsidRDefault="00987367" w:rsidP="00987367">
      <w:pPr>
        <w:jc w:val="both"/>
        <w:rPr>
          <w:rStyle w:val="Heading1Char"/>
          <w:rFonts w:ascii="Calibri" w:hAnsi="Calibri"/>
          <w:sz w:val="28"/>
          <w:u w:val="single"/>
        </w:rPr>
      </w:pPr>
    </w:p>
    <w:p w14:paraId="1E01D97C" w14:textId="77777777" w:rsidR="00987367" w:rsidRDefault="00987367" w:rsidP="00987367">
      <w:pPr>
        <w:jc w:val="both"/>
        <w:rPr>
          <w:rStyle w:val="Heading1Char"/>
          <w:rFonts w:ascii="Calibri" w:hAnsi="Calibri"/>
          <w:sz w:val="28"/>
          <w:u w:val="single"/>
        </w:rPr>
      </w:pPr>
    </w:p>
    <w:p w14:paraId="7231BD2C" w14:textId="77777777" w:rsidR="00987367" w:rsidRDefault="00987367" w:rsidP="00987367">
      <w:pPr>
        <w:jc w:val="both"/>
        <w:rPr>
          <w:rStyle w:val="Heading1Char"/>
          <w:rFonts w:ascii="Calibri" w:hAnsi="Calibri"/>
          <w:sz w:val="28"/>
          <w:u w:val="single"/>
        </w:rPr>
      </w:pPr>
    </w:p>
    <w:p w14:paraId="3A5F0DF7" w14:textId="77777777" w:rsidR="00987367" w:rsidRDefault="00987367" w:rsidP="00987367">
      <w:pPr>
        <w:jc w:val="both"/>
        <w:rPr>
          <w:rStyle w:val="Heading1Char"/>
          <w:rFonts w:ascii="Calibri" w:hAnsi="Calibri"/>
          <w:sz w:val="28"/>
          <w:u w:val="single"/>
        </w:rPr>
      </w:pPr>
    </w:p>
    <w:p w14:paraId="186D6386" w14:textId="77777777" w:rsidR="00987367" w:rsidRDefault="00987367" w:rsidP="00987367">
      <w:pPr>
        <w:jc w:val="both"/>
        <w:rPr>
          <w:rStyle w:val="Heading1Char"/>
          <w:rFonts w:ascii="Calibri" w:hAnsi="Calibri"/>
          <w:sz w:val="28"/>
          <w:u w:val="single"/>
        </w:rPr>
      </w:pPr>
    </w:p>
    <w:p w14:paraId="20D33123" w14:textId="77777777" w:rsidR="00987367" w:rsidRDefault="00987367" w:rsidP="00987367">
      <w:pPr>
        <w:jc w:val="both"/>
        <w:rPr>
          <w:rStyle w:val="Heading1Char"/>
          <w:rFonts w:ascii="Calibri" w:hAnsi="Calibri"/>
          <w:sz w:val="28"/>
          <w:u w:val="single"/>
        </w:rPr>
      </w:pPr>
    </w:p>
    <w:p w14:paraId="5C103AA0" w14:textId="77777777" w:rsidR="00987367" w:rsidRDefault="00987367" w:rsidP="00987367">
      <w:pPr>
        <w:jc w:val="both"/>
        <w:rPr>
          <w:rStyle w:val="Heading1Char"/>
          <w:rFonts w:ascii="Calibri" w:hAnsi="Calibri"/>
          <w:sz w:val="28"/>
          <w:u w:val="single"/>
        </w:rPr>
      </w:pPr>
    </w:p>
    <w:p w14:paraId="42F4C86F" w14:textId="77777777" w:rsidR="00620D3F" w:rsidRDefault="00620D3F" w:rsidP="00987367">
      <w:pPr>
        <w:jc w:val="both"/>
        <w:rPr>
          <w:rStyle w:val="Heading1Char"/>
          <w:rFonts w:ascii="Calibri" w:hAnsi="Calibri"/>
          <w:sz w:val="28"/>
          <w:u w:val="single"/>
        </w:rPr>
      </w:pPr>
    </w:p>
    <w:p w14:paraId="689FB55C" w14:textId="77777777" w:rsidR="006D28EF" w:rsidRDefault="006D28EF" w:rsidP="00987367">
      <w:pPr>
        <w:jc w:val="both"/>
        <w:rPr>
          <w:rStyle w:val="Heading1Char"/>
          <w:rFonts w:ascii="Calibri" w:hAnsi="Calibri"/>
          <w:sz w:val="28"/>
          <w:u w:val="single"/>
        </w:rPr>
      </w:pPr>
    </w:p>
    <w:p w14:paraId="46D682EF" w14:textId="77777777" w:rsidR="004C3803" w:rsidRPr="004C3803" w:rsidRDefault="004C3803" w:rsidP="004C3803">
      <w:pPr>
        <w:rPr>
          <w:rFonts w:ascii="Calibri" w:hAnsi="Calibri" w:cs="Calibri"/>
          <w:i/>
          <w:iCs/>
          <w:sz w:val="26"/>
          <w:u w:val="single"/>
        </w:rPr>
      </w:pPr>
      <w:r w:rsidRPr="006B68C2">
        <w:rPr>
          <w:rFonts w:ascii="Verdana" w:hAnsi="Verdana"/>
          <w:noProof/>
          <w:sz w:val="20"/>
          <w:szCs w:val="20"/>
          <w:u w:val="single"/>
          <w:lang w:eastAsia="en-AU"/>
        </w:rPr>
        <w:drawing>
          <wp:inline distT="0" distB="0" distL="0" distR="0" wp14:anchorId="59C461B9" wp14:editId="5DE5CD6C">
            <wp:extent cx="1492370" cy="434608"/>
            <wp:effectExtent l="0" t="0" r="0" b="3810"/>
            <wp:docPr id="36" name="Picture 36" descr="La Trob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robe University">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2557" cy="434663"/>
                    </a:xfrm>
                    <a:prstGeom prst="rect">
                      <a:avLst/>
                    </a:prstGeom>
                    <a:noFill/>
                    <a:ln>
                      <a:noFill/>
                    </a:ln>
                  </pic:spPr>
                </pic:pic>
              </a:graphicData>
            </a:graphic>
          </wp:inline>
        </w:drawing>
      </w:r>
      <w:r w:rsidRPr="006B68C2">
        <w:rPr>
          <w:rFonts w:asciiTheme="minorHAnsi" w:eastAsia="Times New Roman" w:hAnsiTheme="minorHAnsi" w:cstheme="minorHAnsi"/>
          <w:b/>
          <w:sz w:val="26"/>
          <w:u w:val="single"/>
        </w:rPr>
        <w:t xml:space="preserve"> </w:t>
      </w:r>
      <w:r w:rsidRPr="004C3803">
        <w:rPr>
          <w:rFonts w:ascii="Calibri" w:hAnsi="Calibri" w:cs="Calibri"/>
          <w:b/>
          <w:bCs/>
          <w:sz w:val="28"/>
          <w:szCs w:val="28"/>
          <w:u w:val="single"/>
        </w:rPr>
        <w:t>Studying Rehabilitation Counselling at La Trobe</w:t>
      </w:r>
    </w:p>
    <w:p w14:paraId="2E69EA22" w14:textId="77777777" w:rsidR="004C3803" w:rsidRPr="004C3803" w:rsidRDefault="004C3803" w:rsidP="004C3803">
      <w:pPr>
        <w:rPr>
          <w:rFonts w:ascii="Calibri" w:hAnsi="Calibri" w:cs="Calibri"/>
          <w:i/>
          <w:iCs/>
        </w:rPr>
      </w:pPr>
      <w:r w:rsidRPr="004C3803">
        <w:rPr>
          <w:rFonts w:ascii="Calibri" w:hAnsi="Calibri" w:cs="Calibri"/>
          <w:i/>
          <w:iCs/>
        </w:rPr>
        <w:t>Help people recovering from injuries or living with mental health conditions or disabilities improve their quality of life.  You’ll build skills in counselling techniques, case management and vocational rehabilitation and support clients to achieve their personal, career and independent living goals.</w:t>
      </w:r>
    </w:p>
    <w:p w14:paraId="3047F5FD" w14:textId="77777777" w:rsidR="004C3803" w:rsidRPr="004C3803" w:rsidRDefault="004C3803" w:rsidP="004C3803">
      <w:pPr>
        <w:rPr>
          <w:rFonts w:ascii="Calibri" w:hAnsi="Calibri" w:cs="Calibri"/>
        </w:rPr>
      </w:pPr>
      <w:r w:rsidRPr="004C3803">
        <w:rPr>
          <w:rFonts w:ascii="Calibri" w:hAnsi="Calibri" w:cs="Calibri"/>
        </w:rPr>
        <w:br/>
        <w:t xml:space="preserve">Rehabilitation counselling is offered as a major in a few degrees including the </w:t>
      </w:r>
      <w:hyperlink r:id="rId14" w:anchor="/overview?location=BU&amp;studentType=dom&amp;year=2025" w:history="1">
        <w:r w:rsidRPr="004C3803">
          <w:rPr>
            <w:rStyle w:val="Hyperlink"/>
            <w:rFonts w:ascii="Calibri" w:hAnsi="Calibri" w:cs="Calibri"/>
          </w:rPr>
          <w:t>Bachelor of Health Sciences</w:t>
        </w:r>
      </w:hyperlink>
      <w:r w:rsidRPr="004C3803">
        <w:rPr>
          <w:rFonts w:ascii="Calibri" w:hAnsi="Calibri" w:cs="Calibri"/>
        </w:rPr>
        <w:t xml:space="preserve"> - </w:t>
      </w:r>
      <w:hyperlink r:id="rId15" w:history="1">
        <w:r w:rsidRPr="004C3803">
          <w:rPr>
            <w:rStyle w:val="Hyperlink"/>
            <w:rFonts w:ascii="Calibri" w:hAnsi="Calibri" w:cs="Calibri"/>
          </w:rPr>
          <w:t>rehabilitation counselling</w:t>
        </w:r>
      </w:hyperlink>
      <w:r w:rsidRPr="004C3803">
        <w:rPr>
          <w:rFonts w:ascii="Calibri" w:hAnsi="Calibri" w:cs="Calibri"/>
        </w:rPr>
        <w:t>.  This major is very popular amongst students studying degrees where having a better understanding of their clients would be an advantage.</w:t>
      </w:r>
    </w:p>
    <w:p w14:paraId="53B4CA5E" w14:textId="77777777" w:rsidR="004C3803" w:rsidRPr="004C3803" w:rsidRDefault="004C3803" w:rsidP="004C3803">
      <w:pPr>
        <w:rPr>
          <w:rFonts w:ascii="Calibri" w:hAnsi="Calibri" w:cs="Calibri"/>
        </w:rPr>
      </w:pPr>
      <w:r w:rsidRPr="004C3803">
        <w:rPr>
          <w:rFonts w:ascii="Calibri" w:hAnsi="Calibri" w:cs="Calibri"/>
        </w:rPr>
        <w:br/>
        <w:t xml:space="preserve">La Trobe also offers a </w:t>
      </w:r>
      <w:hyperlink r:id="rId16" w:anchor="/overview?location=CI&amp;studentType=dom&amp;year=2024" w:history="1">
        <w:r w:rsidRPr="004C3803">
          <w:rPr>
            <w:rStyle w:val="Hyperlink"/>
            <w:rFonts w:ascii="Calibri" w:hAnsi="Calibri" w:cs="Calibri"/>
          </w:rPr>
          <w:t>Master of Counselling, Rehabilitation and Mental Health</w:t>
        </w:r>
      </w:hyperlink>
      <w:r w:rsidRPr="004C3803">
        <w:rPr>
          <w:rFonts w:ascii="Calibri" w:hAnsi="Calibri" w:cs="Calibri"/>
        </w:rPr>
        <w:t xml:space="preserve"> at its city campus or online.  This accredited course gives students the foundations for a rewarding career that supports others through huge life changes.  Students get hands-on experience and will graduate prepared to work in rehabilitation counselling, as well as broader counselling settings such as mental health and Employee Assistance Program (EAP) counselling.</w:t>
      </w:r>
    </w:p>
    <w:p w14:paraId="2A7D8A01" w14:textId="77777777" w:rsidR="00B202CE" w:rsidRPr="00B202CE" w:rsidRDefault="00B202CE" w:rsidP="00B202CE">
      <w:pPr>
        <w:pStyle w:val="NoSpacing"/>
        <w:rPr>
          <w:rFonts w:asciiTheme="minorHAnsi" w:hAnsiTheme="minorHAnsi" w:cstheme="minorHAnsi"/>
          <w:b/>
          <w:sz w:val="26"/>
          <w:u w:val="single"/>
        </w:rPr>
      </w:pPr>
      <w:bookmarkStart w:id="0" w:name="_Hlk149838217"/>
      <w:r w:rsidRPr="00B202CE">
        <w:rPr>
          <w:rFonts w:eastAsia="Times New Roman"/>
          <w:noProof/>
          <w:u w:val="single"/>
          <w:lang w:eastAsia="en-AU"/>
        </w:rPr>
        <w:lastRenderedPageBreak/>
        <w:drawing>
          <wp:inline distT="0" distB="0" distL="0" distR="0" wp14:anchorId="5B5440E7" wp14:editId="4A4AB74F">
            <wp:extent cx="1670050" cy="588645"/>
            <wp:effectExtent l="0" t="0" r="6350" b="1905"/>
            <wp:docPr id="5" name="Picture 5" descr="https://gallery.mailchimp.com/5a3dba52497443f22016ede43/images/f8e3e518-4395-4d53-91cb-887e2ff92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5a3dba52497443f22016ede43/images/f8e3e518-4395-4d53-91cb-887e2ff9255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0050" cy="588645"/>
                    </a:xfrm>
                    <a:prstGeom prst="rect">
                      <a:avLst/>
                    </a:prstGeom>
                    <a:noFill/>
                    <a:ln>
                      <a:noFill/>
                    </a:ln>
                  </pic:spPr>
                </pic:pic>
              </a:graphicData>
            </a:graphic>
          </wp:inline>
        </w:drawing>
      </w:r>
      <w:r w:rsidR="00251CBC" w:rsidRPr="00B202CE">
        <w:rPr>
          <w:rFonts w:asciiTheme="minorHAnsi" w:hAnsiTheme="minorHAnsi" w:cstheme="minorHAnsi"/>
          <w:b/>
          <w:sz w:val="6"/>
          <w:szCs w:val="24"/>
          <w:u w:val="single"/>
        </w:rPr>
        <w:t xml:space="preserve">  </w:t>
      </w:r>
      <w:r w:rsidR="00251CBC" w:rsidRPr="00B202CE">
        <w:rPr>
          <w:rFonts w:asciiTheme="minorHAnsi" w:hAnsiTheme="minorHAnsi" w:cstheme="minorHAnsi"/>
          <w:b/>
          <w:sz w:val="28"/>
          <w:szCs w:val="24"/>
          <w:u w:val="single"/>
        </w:rPr>
        <w:t xml:space="preserve">  </w:t>
      </w:r>
      <w:r>
        <w:rPr>
          <w:rFonts w:asciiTheme="minorHAnsi" w:hAnsiTheme="minorHAnsi" w:cstheme="minorHAnsi"/>
          <w:b/>
          <w:sz w:val="28"/>
          <w:szCs w:val="24"/>
          <w:u w:val="single"/>
        </w:rPr>
        <w:t>News from ANU</w:t>
      </w:r>
    </w:p>
    <w:p w14:paraId="0ED38B4C" w14:textId="4EAAE33E" w:rsidR="00B202CE" w:rsidRDefault="00B202CE" w:rsidP="00B202CE">
      <w:pPr>
        <w:pStyle w:val="NoSpacing"/>
        <w:numPr>
          <w:ilvl w:val="0"/>
          <w:numId w:val="11"/>
        </w:numPr>
        <w:rPr>
          <w:rFonts w:asciiTheme="minorHAnsi" w:hAnsiTheme="minorHAnsi" w:cstheme="minorHAnsi"/>
          <w:b/>
          <w:sz w:val="26"/>
          <w:u w:val="single"/>
        </w:rPr>
      </w:pPr>
      <w:r>
        <w:rPr>
          <w:rFonts w:asciiTheme="minorHAnsi" w:hAnsiTheme="minorHAnsi" w:cstheme="minorHAnsi"/>
          <w:b/>
          <w:sz w:val="26"/>
          <w:u w:val="single"/>
        </w:rPr>
        <w:t>Important Notice: Year 12 Applications for 2025 and Beyond</w:t>
      </w:r>
    </w:p>
    <w:p w14:paraId="21156C01" w14:textId="373CC88D" w:rsidR="00B202CE" w:rsidRDefault="00B202CE" w:rsidP="00B202CE">
      <w:pPr>
        <w:pStyle w:val="NoSpacing"/>
        <w:rPr>
          <w:rFonts w:asciiTheme="minorHAnsi" w:hAnsiTheme="minorHAnsi" w:cstheme="minorHAnsi"/>
          <w:bCs/>
          <w:sz w:val="24"/>
          <w:szCs w:val="20"/>
        </w:rPr>
      </w:pPr>
      <w:r>
        <w:rPr>
          <w:rFonts w:asciiTheme="minorHAnsi" w:hAnsiTheme="minorHAnsi" w:cstheme="minorHAnsi"/>
          <w:bCs/>
          <w:sz w:val="24"/>
          <w:szCs w:val="20"/>
        </w:rPr>
        <w:t>In early October2024, the Deputy Vice-Chancellor Academic notified schools that, as of 1 December 2024, direct applications and UAC applicants to ANU will no longer require students to provide evidence of co-curricular and service as part of the admissions process.  The university believes that this change will make ANU more accessible to Year 12 graduates hoping to study at the university.  Students with an queries are encouraged to call 1800 620 032.</w:t>
      </w:r>
    </w:p>
    <w:p w14:paraId="09071084" w14:textId="665D370A" w:rsidR="00B202CE" w:rsidRPr="00B202CE" w:rsidRDefault="00B202CE" w:rsidP="00B202CE">
      <w:pPr>
        <w:pStyle w:val="NoSpacing"/>
        <w:rPr>
          <w:rFonts w:asciiTheme="minorHAnsi" w:hAnsiTheme="minorHAnsi" w:cstheme="minorHAnsi"/>
          <w:bCs/>
          <w:sz w:val="24"/>
          <w:szCs w:val="20"/>
        </w:rPr>
      </w:pPr>
      <w:r>
        <w:rPr>
          <w:rFonts w:asciiTheme="minorHAnsi" w:hAnsiTheme="minorHAnsi" w:cstheme="minorHAnsi"/>
          <w:bCs/>
          <w:sz w:val="24"/>
          <w:szCs w:val="20"/>
        </w:rPr>
        <w:t xml:space="preserve"> </w:t>
      </w:r>
    </w:p>
    <w:p w14:paraId="0E23EA42" w14:textId="0FB4314A" w:rsidR="00251CBC" w:rsidRPr="00B202CE" w:rsidRDefault="00251CBC" w:rsidP="00B202CE">
      <w:pPr>
        <w:pStyle w:val="NoSpacing"/>
        <w:numPr>
          <w:ilvl w:val="0"/>
          <w:numId w:val="11"/>
        </w:numPr>
        <w:rPr>
          <w:rFonts w:asciiTheme="minorHAnsi" w:hAnsiTheme="minorHAnsi" w:cstheme="minorHAnsi"/>
          <w:b/>
          <w:sz w:val="26"/>
          <w:u w:val="single"/>
        </w:rPr>
      </w:pPr>
      <w:r w:rsidRPr="00B202CE">
        <w:rPr>
          <w:rFonts w:asciiTheme="minorHAnsi" w:hAnsiTheme="minorHAnsi" w:cstheme="minorHAnsi"/>
          <w:b/>
          <w:sz w:val="26"/>
          <w:u w:val="single"/>
        </w:rPr>
        <w:t>Tuckwell Scholarship for 2026</w:t>
      </w:r>
    </w:p>
    <w:p w14:paraId="12DE8BD2" w14:textId="77777777" w:rsidR="00251CBC" w:rsidRPr="002D31FA" w:rsidRDefault="00251CBC" w:rsidP="00251CBC">
      <w:pPr>
        <w:pStyle w:val="NoSpacing"/>
        <w:rPr>
          <w:rFonts w:asciiTheme="minorHAnsi" w:hAnsiTheme="minorHAnsi" w:cstheme="minorHAnsi"/>
          <w:color w:val="111111"/>
          <w:sz w:val="24"/>
          <w:shd w:val="clear" w:color="auto" w:fill="FFFFFF"/>
        </w:rPr>
      </w:pPr>
      <w:r w:rsidRPr="002D31FA">
        <w:rPr>
          <w:rFonts w:cs="Calibri"/>
          <w:b/>
          <w:sz w:val="24"/>
        </w:rPr>
        <w:t xml:space="preserve">Australian National University (ANU) </w:t>
      </w:r>
      <w:r w:rsidRPr="002D31FA">
        <w:rPr>
          <w:rFonts w:cs="Calibri"/>
          <w:sz w:val="24"/>
        </w:rPr>
        <w:t xml:space="preserve">launched the </w:t>
      </w:r>
      <w:r w:rsidRPr="002D31FA">
        <w:rPr>
          <w:rFonts w:cs="Calibri"/>
          <w:b/>
          <w:i/>
          <w:sz w:val="24"/>
        </w:rPr>
        <w:t>Tuckwell Scholarship Program</w:t>
      </w:r>
      <w:r w:rsidRPr="002D31FA">
        <w:rPr>
          <w:rFonts w:cs="Calibri"/>
          <w:sz w:val="24"/>
        </w:rPr>
        <w:t xml:space="preserve"> in 2013</w:t>
      </w:r>
      <w:r w:rsidRPr="002D31FA">
        <w:rPr>
          <w:rFonts w:cs="Calibri"/>
          <w:i/>
          <w:sz w:val="24"/>
        </w:rPr>
        <w:t xml:space="preserve">.   The Tuckwell Scholarship Program at the ANU is the most transformational undergraduate scholarship program in Australia.  </w:t>
      </w:r>
      <w:r w:rsidRPr="002D31FA">
        <w:rPr>
          <w:rFonts w:asciiTheme="minorHAnsi" w:hAnsiTheme="minorHAnsi" w:cstheme="minorHAnsi"/>
          <w:color w:val="111111"/>
          <w:sz w:val="24"/>
          <w:szCs w:val="24"/>
          <w:shd w:val="clear" w:color="auto" w:fill="FFFFFF"/>
        </w:rPr>
        <w:t xml:space="preserve">A Tuckwell is not just about a students’ intellect.  It is also about their desire and determination to use their natural abilities to realise their full potential so that they can make a difference in the world.  All up one could say, </w:t>
      </w:r>
      <w:r w:rsidRPr="002D31FA">
        <w:rPr>
          <w:rFonts w:asciiTheme="minorHAnsi" w:hAnsiTheme="minorHAnsi" w:cstheme="minorHAnsi"/>
          <w:b/>
          <w:bCs/>
          <w:color w:val="111111"/>
          <w:sz w:val="24"/>
          <w:shd w:val="clear" w:color="auto" w:fill="FFFFFF"/>
        </w:rPr>
        <w:t>this is no ordinary scholarship</w:t>
      </w:r>
      <w:r w:rsidRPr="002D31FA">
        <w:rPr>
          <w:rFonts w:asciiTheme="minorHAnsi" w:hAnsiTheme="minorHAnsi" w:cstheme="minorHAnsi"/>
          <w:bCs/>
          <w:color w:val="111111"/>
          <w:sz w:val="24"/>
          <w:shd w:val="clear" w:color="auto" w:fill="FFFFFF"/>
        </w:rPr>
        <w:t>!</w:t>
      </w:r>
    </w:p>
    <w:p w14:paraId="7EA6A059" w14:textId="60615941" w:rsidR="00251CBC" w:rsidRPr="00CF05D0" w:rsidRDefault="00251CBC" w:rsidP="00251CBC">
      <w:pPr>
        <w:pStyle w:val="NoSpacing"/>
        <w:rPr>
          <w:rFonts w:asciiTheme="minorHAnsi" w:hAnsiTheme="minorHAnsi" w:cstheme="minorHAnsi"/>
          <w:b/>
          <w:color w:val="111111"/>
          <w:sz w:val="6"/>
          <w:szCs w:val="6"/>
          <w:shd w:val="clear" w:color="auto" w:fill="FFFFFF"/>
        </w:rPr>
      </w:pPr>
      <w:r>
        <w:rPr>
          <w:rFonts w:asciiTheme="minorHAnsi" w:hAnsiTheme="minorHAnsi" w:cstheme="minorHAnsi"/>
          <w:b/>
          <w:color w:val="111111"/>
          <w:sz w:val="24"/>
          <w:szCs w:val="24"/>
          <w:shd w:val="clear" w:color="auto" w:fill="FFFFFF"/>
        </w:rPr>
        <w:br/>
      </w:r>
      <w:r w:rsidRPr="003B7244">
        <w:rPr>
          <w:rFonts w:asciiTheme="minorHAnsi" w:hAnsiTheme="minorHAnsi" w:cstheme="minorHAnsi"/>
          <w:b/>
          <w:color w:val="111111"/>
          <w:sz w:val="24"/>
          <w:szCs w:val="24"/>
          <w:shd w:val="clear" w:color="auto" w:fill="FFFFFF"/>
        </w:rPr>
        <w:t>Scholarships are awarded based on four criteria:</w:t>
      </w:r>
      <w:r>
        <w:rPr>
          <w:rFonts w:asciiTheme="minorHAnsi" w:hAnsiTheme="minorHAnsi" w:cstheme="minorHAnsi"/>
          <w:b/>
          <w:color w:val="111111"/>
          <w:sz w:val="24"/>
          <w:szCs w:val="24"/>
          <w:shd w:val="clear" w:color="auto" w:fill="FFFFFF"/>
        </w:rPr>
        <w:br/>
      </w:r>
      <w:r w:rsidRPr="003B7244">
        <w:rPr>
          <w:rFonts w:asciiTheme="minorHAnsi" w:hAnsiTheme="minorHAnsi" w:cstheme="minorHAnsi"/>
          <w:b/>
          <w:color w:val="111111"/>
          <w:sz w:val="24"/>
          <w:szCs w:val="24"/>
          <w:shd w:val="clear" w:color="auto" w:fill="FFFFFF"/>
        </w:rPr>
        <w:br/>
      </w:r>
    </w:p>
    <w:p w14:paraId="596264DA" w14:textId="77777777"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 xml:space="preserve">academic potential and achievements to </w:t>
      </w:r>
      <w:proofErr w:type="gramStart"/>
      <w:r w:rsidRPr="00251CBC">
        <w:rPr>
          <w:rFonts w:asciiTheme="minorHAnsi" w:hAnsiTheme="minorHAnsi" w:cstheme="minorHAnsi"/>
          <w:color w:val="111111"/>
          <w:sz w:val="24"/>
          <w:szCs w:val="24"/>
          <w:shd w:val="clear" w:color="auto" w:fill="FFFFFF"/>
        </w:rPr>
        <w:t>date;</w:t>
      </w:r>
      <w:proofErr w:type="gramEnd"/>
    </w:p>
    <w:p w14:paraId="2EC3D60A" w14:textId="77777777"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 xml:space="preserve">other significant achievements to date, of any </w:t>
      </w:r>
      <w:proofErr w:type="gramStart"/>
      <w:r w:rsidRPr="00251CBC">
        <w:rPr>
          <w:rFonts w:asciiTheme="minorHAnsi" w:hAnsiTheme="minorHAnsi" w:cstheme="minorHAnsi"/>
          <w:color w:val="111111"/>
          <w:sz w:val="24"/>
          <w:szCs w:val="24"/>
          <w:shd w:val="clear" w:color="auto" w:fill="FFFFFF"/>
        </w:rPr>
        <w:t>type;</w:t>
      </w:r>
      <w:proofErr w:type="gramEnd"/>
    </w:p>
    <w:p w14:paraId="29F7051E" w14:textId="36F96568"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demonstration of the </w:t>
      </w:r>
      <w:r w:rsidR="00622CF6">
        <w:rPr>
          <w:rStyle w:val="Hyperlink"/>
          <w:rFonts w:asciiTheme="minorHAnsi" w:hAnsiTheme="minorHAnsi" w:cstheme="minorHAnsi"/>
          <w:sz w:val="24"/>
          <w:szCs w:val="24"/>
          <w:shd w:val="clear" w:color="auto" w:fill="FFFFFF"/>
        </w:rPr>
        <w:t xml:space="preserve"> </w:t>
      </w:r>
      <w:hyperlink r:id="rId18" w:history="1">
        <w:r w:rsidR="00622CF6">
          <w:rPr>
            <w:rStyle w:val="Hyperlink"/>
            <w:rFonts w:asciiTheme="minorHAnsi" w:hAnsiTheme="minorHAnsi" w:cstheme="minorHAnsi"/>
            <w:sz w:val="24"/>
            <w:szCs w:val="24"/>
            <w:shd w:val="clear" w:color="auto" w:fill="FFFFFF"/>
          </w:rPr>
          <w:t>attributes of a Tuckwell Scholar</w:t>
        </w:r>
      </w:hyperlink>
      <w:r w:rsidRPr="00251CBC">
        <w:rPr>
          <w:rFonts w:asciiTheme="minorHAnsi" w:hAnsiTheme="minorHAnsi" w:cstheme="minorHAnsi"/>
          <w:color w:val="111111"/>
          <w:sz w:val="24"/>
          <w:szCs w:val="24"/>
          <w:shd w:val="clear" w:color="auto" w:fill="FFFFFF"/>
        </w:rPr>
        <w:t>; and</w:t>
      </w:r>
    </w:p>
    <w:p w14:paraId="048C0E51" w14:textId="324B7E0E"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a </w:t>
      </w:r>
      <w:hyperlink r:id="rId19" w:history="1">
        <w:r w:rsidR="00622CF6">
          <w:rPr>
            <w:rStyle w:val="Hyperlink"/>
            <w:rFonts w:asciiTheme="minorHAnsi" w:hAnsiTheme="minorHAnsi" w:cstheme="minorHAnsi"/>
            <w:sz w:val="24"/>
            <w:szCs w:val="24"/>
            <w:shd w:val="clear" w:color="auto" w:fill="FFFFFF"/>
          </w:rPr>
          <w:t>desire to eventually give back to Australia</w:t>
        </w:r>
      </w:hyperlink>
      <w:r w:rsidR="00622CF6">
        <w:rPr>
          <w:rFonts w:asciiTheme="minorHAnsi" w:hAnsiTheme="minorHAnsi" w:cstheme="minorHAnsi"/>
          <w:color w:val="111111"/>
          <w:sz w:val="24"/>
          <w:szCs w:val="24"/>
          <w:shd w:val="clear" w:color="auto" w:fill="FFFFFF"/>
        </w:rPr>
        <w:t xml:space="preserve"> </w:t>
      </w:r>
    </w:p>
    <w:p w14:paraId="0C0DF8AB" w14:textId="77777777" w:rsidR="00251CBC" w:rsidRPr="004F09E3" w:rsidRDefault="00251CBC" w:rsidP="00251CBC">
      <w:pPr>
        <w:pStyle w:val="NoSpacing"/>
        <w:rPr>
          <w:rFonts w:asciiTheme="minorHAnsi" w:hAnsiTheme="minorHAnsi" w:cstheme="minorHAnsi"/>
          <w:color w:val="111111"/>
          <w:sz w:val="24"/>
          <w:szCs w:val="24"/>
          <w:highlight w:val="yellow"/>
          <w:shd w:val="clear" w:color="auto" w:fill="FFFFFF"/>
        </w:rPr>
      </w:pPr>
    </w:p>
    <w:p w14:paraId="0F09774A" w14:textId="41FE25E1" w:rsidR="00251CBC" w:rsidRDefault="00622CF6" w:rsidP="00251CBC">
      <w:pPr>
        <w:pStyle w:val="NoSpacing"/>
        <w:rPr>
          <w:rStyle w:val="Hyperlink"/>
          <w:rFonts w:asciiTheme="minorHAnsi" w:hAnsiTheme="minorHAnsi" w:cstheme="minorHAnsi"/>
          <w:b/>
          <w:color w:val="auto"/>
          <w:sz w:val="24"/>
          <w:szCs w:val="24"/>
          <w:u w:val="none"/>
          <w:shd w:val="clear" w:color="auto" w:fill="FFFFFF"/>
        </w:rPr>
      </w:pPr>
      <w:r w:rsidRPr="00C11077">
        <w:rPr>
          <w:rFonts w:asciiTheme="minorHAnsi" w:hAnsiTheme="minorHAnsi"/>
          <w:b/>
          <w:bCs/>
          <w:iCs/>
          <w:sz w:val="24"/>
          <w:szCs w:val="24"/>
        </w:rPr>
        <w:t>Although a</w:t>
      </w:r>
      <w:r w:rsidR="00251CBC" w:rsidRPr="00C11077">
        <w:rPr>
          <w:rFonts w:asciiTheme="minorHAnsi" w:hAnsiTheme="minorHAnsi"/>
          <w:b/>
          <w:bCs/>
          <w:iCs/>
          <w:sz w:val="24"/>
          <w:szCs w:val="24"/>
        </w:rPr>
        <w:t xml:space="preserve">pplications will </w:t>
      </w:r>
      <w:r w:rsidRPr="00C11077">
        <w:rPr>
          <w:rFonts w:asciiTheme="minorHAnsi" w:hAnsiTheme="minorHAnsi"/>
          <w:b/>
          <w:bCs/>
          <w:iCs/>
          <w:sz w:val="24"/>
          <w:szCs w:val="24"/>
        </w:rPr>
        <w:t xml:space="preserve">only </w:t>
      </w:r>
      <w:r w:rsidR="00251CBC" w:rsidRPr="00C11077">
        <w:rPr>
          <w:rFonts w:asciiTheme="minorHAnsi" w:hAnsiTheme="minorHAnsi"/>
          <w:b/>
          <w:bCs/>
          <w:iCs/>
          <w:sz w:val="24"/>
          <w:szCs w:val="24"/>
        </w:rPr>
        <w:t>open in</w:t>
      </w:r>
      <w:r w:rsidR="00C11077" w:rsidRPr="00C11077">
        <w:rPr>
          <w:rFonts w:asciiTheme="minorHAnsi" w:hAnsiTheme="minorHAnsi"/>
          <w:b/>
          <w:bCs/>
          <w:iCs/>
          <w:sz w:val="24"/>
          <w:szCs w:val="24"/>
        </w:rPr>
        <w:t xml:space="preserve"> early</w:t>
      </w:r>
      <w:r w:rsidR="00251CBC" w:rsidRPr="00C11077">
        <w:rPr>
          <w:rFonts w:asciiTheme="minorHAnsi" w:hAnsiTheme="minorHAnsi"/>
          <w:b/>
          <w:bCs/>
          <w:iCs/>
          <w:sz w:val="24"/>
          <w:szCs w:val="24"/>
        </w:rPr>
        <w:t xml:space="preserve"> March 202</w:t>
      </w:r>
      <w:r w:rsidRPr="00C11077">
        <w:rPr>
          <w:rFonts w:asciiTheme="minorHAnsi" w:hAnsiTheme="minorHAnsi"/>
          <w:b/>
          <w:bCs/>
          <w:iCs/>
          <w:sz w:val="24"/>
          <w:szCs w:val="24"/>
        </w:rPr>
        <w:t>5</w:t>
      </w:r>
      <w:r w:rsidR="00C11077" w:rsidRPr="00C11077">
        <w:rPr>
          <w:rFonts w:asciiTheme="minorHAnsi" w:hAnsiTheme="minorHAnsi"/>
          <w:b/>
          <w:bCs/>
          <w:iCs/>
          <w:sz w:val="24"/>
          <w:szCs w:val="24"/>
        </w:rPr>
        <w:t xml:space="preserve"> (tbc</w:t>
      </w:r>
      <w:r w:rsidR="00C11077">
        <w:rPr>
          <w:rFonts w:asciiTheme="minorHAnsi" w:hAnsiTheme="minorHAnsi"/>
          <w:b/>
          <w:bCs/>
          <w:iCs/>
          <w:sz w:val="24"/>
          <w:szCs w:val="24"/>
        </w:rPr>
        <w:t>)</w:t>
      </w:r>
      <w:r>
        <w:rPr>
          <w:rFonts w:asciiTheme="minorHAnsi" w:hAnsiTheme="minorHAnsi"/>
          <w:b/>
          <w:bCs/>
          <w:iCs/>
          <w:sz w:val="24"/>
          <w:szCs w:val="24"/>
        </w:rPr>
        <w:t xml:space="preserve">, current Year 11 students who believe they meet the eligibility criteria for this scholarship, are encouraged to browse </w:t>
      </w:r>
      <w:hyperlink r:id="rId20" w:history="1">
        <w:r w:rsidR="00251CBC">
          <w:rPr>
            <w:rStyle w:val="Hyperlink"/>
            <w:rFonts w:asciiTheme="minorHAnsi" w:hAnsiTheme="minorHAnsi" w:cstheme="minorHAnsi"/>
            <w:b/>
            <w:sz w:val="24"/>
            <w:szCs w:val="24"/>
            <w:shd w:val="clear" w:color="auto" w:fill="FFFFFF"/>
          </w:rPr>
          <w:t>Tuckwell Scholarship</w:t>
        </w:r>
      </w:hyperlink>
      <w:r>
        <w:rPr>
          <w:rFonts w:asciiTheme="minorHAnsi" w:hAnsiTheme="minorHAnsi" w:cstheme="minorHAnsi"/>
          <w:b/>
          <w:color w:val="111111"/>
          <w:sz w:val="24"/>
          <w:szCs w:val="24"/>
          <w:shd w:val="clear" w:color="auto" w:fill="FFFFFF"/>
        </w:rPr>
        <w:t xml:space="preserve"> and </w:t>
      </w:r>
      <w:r w:rsidR="00C11077">
        <w:rPr>
          <w:rFonts w:asciiTheme="minorHAnsi" w:hAnsiTheme="minorHAnsi" w:cstheme="minorHAnsi"/>
          <w:b/>
          <w:color w:val="111111"/>
          <w:sz w:val="24"/>
          <w:szCs w:val="24"/>
          <w:shd w:val="clear" w:color="auto" w:fill="FFFFFF"/>
        </w:rPr>
        <w:t xml:space="preserve">the </w:t>
      </w:r>
      <w:hyperlink r:id="rId21" w:history="1">
        <w:r w:rsidR="00C11077">
          <w:rPr>
            <w:rStyle w:val="Hyperlink"/>
            <w:rFonts w:asciiTheme="minorHAnsi" w:hAnsiTheme="minorHAnsi" w:cstheme="minorHAnsi"/>
            <w:b/>
            <w:sz w:val="24"/>
            <w:szCs w:val="24"/>
            <w:shd w:val="clear" w:color="auto" w:fill="FFFFFF"/>
          </w:rPr>
          <w:t>2026 Application Booklet</w:t>
        </w:r>
      </w:hyperlink>
      <w:r w:rsidR="00C11077">
        <w:rPr>
          <w:rFonts w:asciiTheme="minorHAnsi" w:hAnsiTheme="minorHAnsi" w:cstheme="minorHAnsi"/>
          <w:b/>
          <w:color w:val="111111"/>
          <w:sz w:val="24"/>
          <w:szCs w:val="24"/>
          <w:shd w:val="clear" w:color="auto" w:fill="FFFFFF"/>
        </w:rPr>
        <w:t xml:space="preserve"> to </w:t>
      </w:r>
      <w:r>
        <w:rPr>
          <w:rFonts w:asciiTheme="minorHAnsi" w:hAnsiTheme="minorHAnsi" w:cstheme="minorHAnsi"/>
          <w:b/>
          <w:color w:val="111111"/>
          <w:sz w:val="24"/>
          <w:szCs w:val="24"/>
          <w:shd w:val="clear" w:color="auto" w:fill="FFFFFF"/>
        </w:rPr>
        <w:t>find out more.</w:t>
      </w:r>
    </w:p>
    <w:bookmarkEnd w:id="0"/>
    <w:p w14:paraId="06557636" w14:textId="77777777" w:rsidR="00B202CE" w:rsidRDefault="00B202CE">
      <w:pPr>
        <w:rPr>
          <w:rStyle w:val="Heading1Char"/>
          <w:rFonts w:ascii="Calibri" w:hAnsi="Calibri" w:cs="Calibri"/>
          <w:sz w:val="28"/>
          <w:u w:val="single"/>
        </w:rPr>
      </w:pPr>
    </w:p>
    <w:p w14:paraId="22065A42" w14:textId="77777777" w:rsidR="00B202CE" w:rsidRPr="00B202CE" w:rsidRDefault="00B202CE">
      <w:pPr>
        <w:rPr>
          <w:rStyle w:val="Heading1Char"/>
          <w:rFonts w:ascii="Calibri" w:hAnsi="Calibri" w:cs="Calibri"/>
          <w:sz w:val="18"/>
          <w:szCs w:val="14"/>
          <w:u w:val="single"/>
        </w:rPr>
      </w:pPr>
    </w:p>
    <w:p w14:paraId="6E70B1F7" w14:textId="77777777" w:rsidR="00B202CE" w:rsidRPr="00B202CE" w:rsidRDefault="00B202CE" w:rsidP="00987367">
      <w:pPr>
        <w:jc w:val="both"/>
        <w:rPr>
          <w:rStyle w:val="Heading1Char"/>
          <w:rFonts w:ascii="Calibri" w:hAnsi="Calibri" w:cs="Calibri"/>
          <w:sz w:val="16"/>
          <w:szCs w:val="12"/>
          <w:u w:val="single"/>
        </w:rPr>
      </w:pPr>
    </w:p>
    <w:p w14:paraId="3D76EC67" w14:textId="45D90374" w:rsidR="00B202CE" w:rsidRPr="00B202CE" w:rsidRDefault="00B202CE" w:rsidP="00987367">
      <w:pPr>
        <w:jc w:val="both"/>
        <w:rPr>
          <w:rStyle w:val="Heading1Char"/>
          <w:rFonts w:ascii="Calibri" w:hAnsi="Calibri" w:cs="Calibri"/>
          <w:sz w:val="28"/>
          <w:u w:val="single"/>
        </w:rPr>
      </w:pPr>
      <w:r w:rsidRPr="00B202CE">
        <w:rPr>
          <w:noProof/>
          <w:u w:val="single"/>
          <w:lang w:eastAsia="en-AU"/>
        </w:rPr>
        <w:drawing>
          <wp:inline distT="0" distB="0" distL="0" distR="0" wp14:anchorId="38DEE64A" wp14:editId="5A3580BE">
            <wp:extent cx="2276475" cy="524319"/>
            <wp:effectExtent l="19050" t="0" r="9525" b="0"/>
            <wp:docPr id="11"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22" cstate="print"/>
                    <a:stretch>
                      <a:fillRect/>
                    </a:stretch>
                  </pic:blipFill>
                  <pic:spPr>
                    <a:xfrm>
                      <a:off x="0" y="0"/>
                      <a:ext cx="2276475" cy="524319"/>
                    </a:xfrm>
                    <a:prstGeom prst="rect">
                      <a:avLst/>
                    </a:prstGeom>
                  </pic:spPr>
                </pic:pic>
              </a:graphicData>
            </a:graphic>
          </wp:inline>
        </w:drawing>
      </w:r>
      <w:r w:rsidRPr="00B202CE">
        <w:rPr>
          <w:rStyle w:val="Heading1Char"/>
          <w:rFonts w:ascii="Calibri" w:hAnsi="Calibri" w:cs="Calibri"/>
          <w:sz w:val="28"/>
          <w:u w:val="single"/>
        </w:rPr>
        <w:t>Bachelor of Learning Design &amp; Technology</w:t>
      </w:r>
    </w:p>
    <w:p w14:paraId="2BDC8D29" w14:textId="2F99BA74" w:rsidR="00B202CE" w:rsidRPr="00B202CE" w:rsidRDefault="00B202CE" w:rsidP="00987367">
      <w:pPr>
        <w:jc w:val="both"/>
        <w:rPr>
          <w:rStyle w:val="Heading1Char"/>
          <w:rFonts w:ascii="Calibri" w:hAnsi="Calibri" w:cs="Calibri"/>
          <w:b w:val="0"/>
          <w:i/>
          <w:iCs/>
          <w:szCs w:val="20"/>
        </w:rPr>
      </w:pPr>
      <w:r>
        <w:rPr>
          <w:rStyle w:val="Heading1Char"/>
          <w:rFonts w:ascii="Calibri" w:hAnsi="Calibri" w:cs="Calibri"/>
          <w:b w:val="0"/>
          <w:szCs w:val="20"/>
        </w:rPr>
        <w:t xml:space="preserve">The </w:t>
      </w:r>
      <w:hyperlink r:id="rId23" w:history="1">
        <w:r w:rsidRPr="00B202CE">
          <w:rPr>
            <w:rStyle w:val="Hyperlink"/>
            <w:rFonts w:ascii="Calibri" w:hAnsi="Calibri" w:cs="Calibri"/>
            <w:b/>
            <w:szCs w:val="20"/>
          </w:rPr>
          <w:t>Bachelor of Learning Design &amp; Technology</w:t>
        </w:r>
      </w:hyperlink>
      <w:r>
        <w:rPr>
          <w:rStyle w:val="Heading1Char"/>
          <w:rFonts w:ascii="Calibri" w:hAnsi="Calibri" w:cs="Calibri"/>
          <w:b w:val="0"/>
          <w:szCs w:val="20"/>
        </w:rPr>
        <w:t xml:space="preserve"> offered at the Clayton Campus is designed for students who </w:t>
      </w:r>
      <w:r w:rsidRPr="00B202CE">
        <w:rPr>
          <w:rFonts w:ascii="Calibri" w:hAnsi="Calibri" w:cs="Calibri"/>
          <w:i/>
          <w:iCs/>
          <w:szCs w:val="20"/>
        </w:rPr>
        <w:t>love of creativity, technology or psychology to explore how we best navigate new challenges and technologies, from artificial intelligence and simulations to corporate training and career development.</w:t>
      </w:r>
    </w:p>
    <w:p w14:paraId="0422F196" w14:textId="77777777" w:rsidR="00B202CE" w:rsidRDefault="00B202CE" w:rsidP="00987367">
      <w:pPr>
        <w:jc w:val="both"/>
        <w:rPr>
          <w:rStyle w:val="Heading1Char"/>
          <w:rFonts w:ascii="Calibri" w:hAnsi="Calibri" w:cs="Calibri"/>
          <w:sz w:val="28"/>
          <w:szCs w:val="28"/>
          <w:u w:val="single"/>
        </w:rPr>
      </w:pPr>
    </w:p>
    <w:p w14:paraId="34414CA7" w14:textId="7C0EF71F" w:rsidR="00B202CE" w:rsidRPr="00B202CE" w:rsidRDefault="00B202CE" w:rsidP="00B202CE">
      <w:pPr>
        <w:rPr>
          <w:rStyle w:val="Heading1Char"/>
          <w:rFonts w:ascii="Calibri" w:hAnsi="Calibri" w:cs="Calibri"/>
          <w:b w:val="0"/>
          <w:bCs/>
        </w:rPr>
      </w:pPr>
      <w:r w:rsidRPr="00B202CE">
        <w:rPr>
          <w:rFonts w:ascii="Calibri" w:hAnsi="Calibri" w:cs="Calibri"/>
          <w:bCs/>
        </w:rPr>
        <w:t xml:space="preserve">Apart from learning design, </w:t>
      </w:r>
      <w:r>
        <w:rPr>
          <w:rFonts w:ascii="Calibri" w:hAnsi="Calibri" w:cs="Calibri"/>
          <w:bCs/>
        </w:rPr>
        <w:t>the s</w:t>
      </w:r>
      <w:r w:rsidRPr="00B202CE">
        <w:rPr>
          <w:rFonts w:ascii="Calibri" w:hAnsi="Calibri" w:cs="Calibri"/>
          <w:bCs/>
        </w:rPr>
        <w:t xml:space="preserve">kills gained in this course </w:t>
      </w:r>
      <w:r>
        <w:rPr>
          <w:rFonts w:ascii="Calibri" w:hAnsi="Calibri" w:cs="Calibri"/>
          <w:bCs/>
        </w:rPr>
        <w:t xml:space="preserve">means students can </w:t>
      </w:r>
      <w:r w:rsidRPr="00B202CE">
        <w:rPr>
          <w:rFonts w:ascii="Calibri" w:hAnsi="Calibri" w:cs="Calibri"/>
          <w:bCs/>
        </w:rPr>
        <w:t xml:space="preserve">pursue roles in </w:t>
      </w:r>
      <w:r w:rsidRPr="00B202CE">
        <w:rPr>
          <w:rFonts w:ascii="Calibri" w:hAnsi="Calibri" w:cs="Calibri"/>
          <w:bCs/>
          <w:i/>
          <w:iCs/>
        </w:rPr>
        <w:t xml:space="preserve">marketing, human resource development, instructional media and game development, </w:t>
      </w:r>
      <w:r w:rsidRPr="00B202CE">
        <w:rPr>
          <w:rFonts w:ascii="Calibri" w:hAnsi="Calibri" w:cs="Calibri"/>
          <w:bCs/>
          <w:i/>
          <w:iCs/>
        </w:rPr>
        <w:t>training,</w:t>
      </w:r>
      <w:r w:rsidRPr="00B202CE">
        <w:rPr>
          <w:rFonts w:ascii="Calibri" w:hAnsi="Calibri" w:cs="Calibri"/>
          <w:bCs/>
          <w:i/>
          <w:iCs/>
        </w:rPr>
        <w:t xml:space="preserve"> </w:t>
      </w:r>
      <w:r w:rsidRPr="00B202CE">
        <w:rPr>
          <w:rFonts w:ascii="Calibri" w:hAnsi="Calibri" w:cs="Calibri"/>
          <w:bCs/>
        </w:rPr>
        <w:t>and</w:t>
      </w:r>
      <w:r w:rsidRPr="00B202CE">
        <w:rPr>
          <w:rFonts w:ascii="Calibri" w:hAnsi="Calibri" w:cs="Calibri"/>
          <w:bCs/>
          <w:i/>
          <w:iCs/>
        </w:rPr>
        <w:t xml:space="preserve"> project management</w:t>
      </w:r>
      <w:r w:rsidRPr="00B202CE">
        <w:rPr>
          <w:rFonts w:ascii="Calibri" w:hAnsi="Calibri" w:cs="Calibri"/>
          <w:bCs/>
        </w:rPr>
        <w:t>.</w:t>
      </w:r>
      <w:r>
        <w:rPr>
          <w:rFonts w:ascii="Calibri" w:hAnsi="Calibri" w:cs="Calibri"/>
          <w:bCs/>
        </w:rPr>
        <w:br/>
      </w:r>
      <w:r>
        <w:rPr>
          <w:rFonts w:ascii="Calibri" w:hAnsi="Calibri" w:cs="Calibri"/>
          <w:bCs/>
        </w:rPr>
        <w:br/>
      </w:r>
      <w:r w:rsidRPr="00B202CE">
        <w:rPr>
          <w:rFonts w:ascii="Calibri" w:hAnsi="Calibri" w:cs="Calibri"/>
          <w:bCs/>
        </w:rPr>
        <w:t xml:space="preserve">This course requires </w:t>
      </w:r>
      <w:r>
        <w:rPr>
          <w:rFonts w:ascii="Calibri" w:hAnsi="Calibri" w:cs="Calibri"/>
          <w:bCs/>
        </w:rPr>
        <w:t>students</w:t>
      </w:r>
      <w:r w:rsidRPr="00B202CE">
        <w:rPr>
          <w:rFonts w:ascii="Calibri" w:hAnsi="Calibri" w:cs="Calibri"/>
          <w:bCs/>
        </w:rPr>
        <w:t xml:space="preserve"> to undertake off-campus industry experience. </w:t>
      </w:r>
      <w:r>
        <w:rPr>
          <w:rFonts w:ascii="Calibri" w:hAnsi="Calibri" w:cs="Calibri"/>
          <w:bCs/>
        </w:rPr>
        <w:t xml:space="preserve"> </w:t>
      </w:r>
      <w:r w:rsidRPr="00B202CE">
        <w:rPr>
          <w:rFonts w:ascii="Calibri" w:hAnsi="Calibri" w:cs="Calibri"/>
          <w:bCs/>
        </w:rPr>
        <w:t xml:space="preserve">Industry experience, also known as work-integrated learning (WIL), provides </w:t>
      </w:r>
      <w:r>
        <w:rPr>
          <w:rFonts w:ascii="Calibri" w:hAnsi="Calibri" w:cs="Calibri"/>
          <w:bCs/>
        </w:rPr>
        <w:t>students</w:t>
      </w:r>
      <w:r w:rsidRPr="00B202CE">
        <w:rPr>
          <w:rFonts w:ascii="Calibri" w:hAnsi="Calibri" w:cs="Calibri"/>
          <w:bCs/>
        </w:rPr>
        <w:t xml:space="preserve"> with </w:t>
      </w:r>
      <w:r w:rsidRPr="00B202CE">
        <w:rPr>
          <w:rFonts w:ascii="Calibri" w:hAnsi="Calibri" w:cs="Calibri"/>
          <w:bCs/>
        </w:rPr>
        <w:lastRenderedPageBreak/>
        <w:t>opportunities to integrate academic learning with workplace experience.</w:t>
      </w:r>
      <w:r>
        <w:rPr>
          <w:rFonts w:ascii="Calibri" w:hAnsi="Calibri" w:cs="Calibri"/>
          <w:bCs/>
        </w:rPr>
        <w:br/>
      </w:r>
      <w:r>
        <w:rPr>
          <w:rFonts w:ascii="Calibri" w:hAnsi="Calibri" w:cs="Calibri"/>
          <w:bCs/>
        </w:rPr>
        <w:br/>
        <w:t xml:space="preserve">The VCE prerequisites are </w:t>
      </w:r>
      <w:r w:rsidRPr="00B202CE">
        <w:rPr>
          <w:rFonts w:ascii="Calibri" w:hAnsi="Calibri" w:cs="Calibri"/>
          <w:bCs/>
        </w:rPr>
        <w:t>Units 3 and 4: a study score of at least 27 in English as an Additional Language or at least 25 in English other than EAL</w:t>
      </w:r>
      <w:r>
        <w:rPr>
          <w:rFonts w:ascii="Calibri" w:hAnsi="Calibri" w:cs="Calibri"/>
          <w:bCs/>
        </w:rPr>
        <w:t>, and an ATAR of 70.00 was required for 2024 entry.</w:t>
      </w:r>
    </w:p>
    <w:p w14:paraId="0C36FFEB" w14:textId="77777777" w:rsidR="00B202CE" w:rsidRDefault="00B202CE" w:rsidP="00987367">
      <w:pPr>
        <w:jc w:val="both"/>
        <w:rPr>
          <w:rStyle w:val="Heading1Char"/>
          <w:rFonts w:ascii="Calibri" w:hAnsi="Calibri" w:cs="Calibri"/>
          <w:sz w:val="28"/>
          <w:szCs w:val="28"/>
          <w:u w:val="single"/>
        </w:rPr>
      </w:pPr>
    </w:p>
    <w:p w14:paraId="0B6F07BF" w14:textId="5A6C907B" w:rsidR="00B202CE" w:rsidRPr="00D25125" w:rsidRDefault="00D25125" w:rsidP="00D25125">
      <w:pPr>
        <w:rPr>
          <w:rStyle w:val="Heading1Char"/>
          <w:rFonts w:ascii="Calibri" w:hAnsi="Calibri" w:cs="Calibri"/>
          <w:b w:val="0"/>
          <w:bCs/>
        </w:rPr>
      </w:pPr>
      <w:r>
        <w:rPr>
          <w:rStyle w:val="Heading1Char"/>
          <w:rFonts w:ascii="Calibri" w:hAnsi="Calibri" w:cs="Calibri"/>
          <w:i/>
          <w:iCs/>
          <w:u w:val="single"/>
        </w:rPr>
        <w:t>New</w:t>
      </w:r>
      <w:r>
        <w:rPr>
          <w:rStyle w:val="Heading1Char"/>
          <w:rFonts w:ascii="Calibri" w:hAnsi="Calibri" w:cs="Calibri"/>
          <w:u w:val="single"/>
        </w:rPr>
        <w:t xml:space="preserve"> Important Pathway</w:t>
      </w:r>
      <w:r>
        <w:rPr>
          <w:rStyle w:val="Heading1Char"/>
          <w:rFonts w:ascii="Calibri" w:hAnsi="Calibri" w:cs="Calibri"/>
          <w:b w:val="0"/>
          <w:bCs/>
        </w:rPr>
        <w:t xml:space="preserve"> – the </w:t>
      </w:r>
      <w:hyperlink r:id="rId24" w:history="1">
        <w:r>
          <w:rPr>
            <w:rStyle w:val="Hyperlink"/>
            <w:rFonts w:ascii="Calibri" w:hAnsi="Calibri" w:cs="Calibri"/>
            <w:bCs/>
          </w:rPr>
          <w:t>Diploma of Higher Education (DoHE)</w:t>
        </w:r>
      </w:hyperlink>
      <w:r>
        <w:rPr>
          <w:rStyle w:val="Heading1Char"/>
          <w:rFonts w:ascii="Calibri" w:hAnsi="Calibri" w:cs="Calibri"/>
          <w:b w:val="0"/>
          <w:bCs/>
        </w:rPr>
        <w:t xml:space="preserve"> offers a 1-year pathway option into the Bachelor of Learning Design &amp; Technology.  </w:t>
      </w:r>
      <w:r w:rsidRPr="00D25125">
        <w:rPr>
          <w:rFonts w:ascii="Calibri" w:hAnsi="Calibri" w:cs="Calibri"/>
          <w:bCs/>
        </w:rPr>
        <w:t>Students who pass all eight units in the Learning Design and Technology stream and achieve a minimum weighted average mark of 60% in DoHE will be eligible to receive up to one year of credit into the </w:t>
      </w:r>
      <w:hyperlink r:id="rId25" w:history="1">
        <w:r w:rsidRPr="00D25125">
          <w:rPr>
            <w:rStyle w:val="Hyperlink"/>
            <w:rFonts w:ascii="Calibri" w:hAnsi="Calibri" w:cs="Calibri"/>
            <w:bCs/>
          </w:rPr>
          <w:t>Bachelor of Learning Design and Technology</w:t>
        </w:r>
      </w:hyperlink>
      <w:r w:rsidRPr="00D25125">
        <w:rPr>
          <w:rFonts w:ascii="Calibri" w:hAnsi="Calibri" w:cs="Calibri"/>
          <w:bCs/>
        </w:rPr>
        <w:t> at the Clayton campus</w:t>
      </w:r>
      <w:r>
        <w:rPr>
          <w:rFonts w:ascii="Calibri" w:hAnsi="Calibri" w:cs="Calibri"/>
          <w:bCs/>
        </w:rPr>
        <w:t xml:space="preserve">, thus entering </w:t>
      </w:r>
      <w:r w:rsidRPr="00D25125">
        <w:rPr>
          <w:rFonts w:ascii="Calibri" w:hAnsi="Calibri" w:cs="Calibri"/>
          <w:bCs/>
        </w:rPr>
        <w:t xml:space="preserve">the </w:t>
      </w:r>
      <w:r w:rsidRPr="00D25125">
        <w:rPr>
          <w:rFonts w:ascii="Calibri" w:hAnsi="Calibri" w:cs="Calibri"/>
          <w:bCs/>
          <w:u w:val="single"/>
        </w:rPr>
        <w:t>second year</w:t>
      </w:r>
      <w:r w:rsidRPr="00D25125">
        <w:rPr>
          <w:rFonts w:ascii="Calibri" w:hAnsi="Calibri" w:cs="Calibri"/>
          <w:bCs/>
        </w:rPr>
        <w:t xml:space="preserve"> of the Bachelor of Learning Design and Technology.</w:t>
      </w:r>
      <w:r>
        <w:rPr>
          <w:rStyle w:val="Heading1Char"/>
          <w:rFonts w:ascii="Calibri" w:hAnsi="Calibri" w:cs="Calibri"/>
          <w:b w:val="0"/>
          <w:bCs/>
        </w:rPr>
        <w:t xml:space="preserve"> </w:t>
      </w:r>
    </w:p>
    <w:p w14:paraId="49D35501" w14:textId="77777777" w:rsidR="00B202CE" w:rsidRDefault="00B202CE" w:rsidP="00987367">
      <w:pPr>
        <w:jc w:val="both"/>
        <w:rPr>
          <w:rStyle w:val="Heading1Char"/>
          <w:rFonts w:ascii="Calibri" w:hAnsi="Calibri" w:cs="Calibri"/>
          <w:sz w:val="28"/>
          <w:szCs w:val="28"/>
          <w:u w:val="single"/>
        </w:rPr>
      </w:pPr>
    </w:p>
    <w:p w14:paraId="45345149" w14:textId="77777777" w:rsidR="00B202CE" w:rsidRDefault="00B202CE" w:rsidP="00987367">
      <w:pPr>
        <w:jc w:val="both"/>
        <w:rPr>
          <w:rStyle w:val="Heading1Char"/>
          <w:rFonts w:ascii="Calibri" w:hAnsi="Calibri" w:cs="Calibri"/>
          <w:sz w:val="28"/>
          <w:szCs w:val="28"/>
          <w:u w:val="single"/>
        </w:rPr>
      </w:pPr>
    </w:p>
    <w:p w14:paraId="4538C6E9" w14:textId="4B70E5FF" w:rsidR="00620D3F" w:rsidRDefault="00240412" w:rsidP="00987367">
      <w:pPr>
        <w:jc w:val="both"/>
        <w:rPr>
          <w:rStyle w:val="Heading1Char"/>
          <w:rFonts w:ascii="Calibri" w:hAnsi="Calibri" w:cs="Calibri"/>
          <w:sz w:val="28"/>
          <w:szCs w:val="28"/>
          <w:u w:val="single"/>
        </w:rPr>
      </w:pPr>
      <w:r w:rsidRPr="00B85C54">
        <w:rPr>
          <w:noProof/>
          <w:u w:val="single"/>
          <w:lang w:eastAsia="en-AU"/>
        </w:rPr>
        <w:drawing>
          <wp:inline distT="0" distB="0" distL="0" distR="0" wp14:anchorId="4A81AAC0" wp14:editId="6B806E40">
            <wp:extent cx="942975" cy="942975"/>
            <wp:effectExtent l="0" t="0" r="9525" b="9525"/>
            <wp:docPr id="47" name="Picture 4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6941" cy="946941"/>
                    </a:xfrm>
                    <a:prstGeom prst="rect">
                      <a:avLst/>
                    </a:prstGeom>
                    <a:noFill/>
                    <a:ln>
                      <a:noFill/>
                    </a:ln>
                  </pic:spPr>
                </pic:pic>
              </a:graphicData>
            </a:graphic>
          </wp:inline>
        </w:drawing>
      </w:r>
      <w:r>
        <w:rPr>
          <w:rStyle w:val="Heading1Char"/>
          <w:rFonts w:ascii="Calibri" w:hAnsi="Calibri" w:cs="Calibri"/>
          <w:sz w:val="28"/>
          <w:szCs w:val="28"/>
          <w:u w:val="single"/>
        </w:rPr>
        <w:t>Major in Bachelor of Business</w:t>
      </w:r>
    </w:p>
    <w:p w14:paraId="548A3EE0" w14:textId="7473731E" w:rsidR="00240412" w:rsidRPr="00240412" w:rsidRDefault="00240412" w:rsidP="00240412">
      <w:pPr>
        <w:rPr>
          <w:rFonts w:asciiTheme="minorHAnsi" w:hAnsiTheme="minorHAnsi" w:cstheme="minorHAnsi"/>
          <w:b/>
          <w:bCs/>
        </w:rPr>
      </w:pPr>
      <w:r w:rsidRPr="00240412">
        <w:rPr>
          <w:rStyle w:val="Heading1Char"/>
          <w:rFonts w:asciiTheme="minorHAnsi" w:hAnsiTheme="minorHAnsi" w:cstheme="minorHAnsi"/>
          <w:b w:val="0"/>
          <w:bCs/>
        </w:rPr>
        <w:t xml:space="preserve">Deakin University offers a </w:t>
      </w:r>
      <w:r w:rsidRPr="00240412">
        <w:rPr>
          <w:rStyle w:val="Heading1Char"/>
          <w:rFonts w:asciiTheme="minorHAnsi" w:hAnsiTheme="minorHAnsi" w:cstheme="minorHAnsi"/>
          <w:b w:val="0"/>
          <w:bCs/>
          <w:i/>
          <w:iCs/>
        </w:rPr>
        <w:t xml:space="preserve">major - </w:t>
      </w:r>
      <w:bookmarkStart w:id="1" w:name="_Hlk115010521"/>
      <w:r w:rsidRPr="00240412">
        <w:rPr>
          <w:rFonts w:asciiTheme="minorHAnsi" w:hAnsiTheme="minorHAnsi" w:cstheme="minorHAnsi"/>
          <w:b/>
          <w:bCs/>
          <w:i/>
          <w:iCs/>
        </w:rPr>
        <w:t>Recruitment and Talent Acquisition</w:t>
      </w:r>
      <w:r w:rsidRPr="00240412">
        <w:rPr>
          <w:rFonts w:asciiTheme="minorHAnsi" w:hAnsiTheme="minorHAnsi" w:cstheme="minorHAnsi"/>
        </w:rPr>
        <w:t xml:space="preserve"> </w:t>
      </w:r>
      <w:bookmarkEnd w:id="1"/>
      <w:r w:rsidRPr="00240412">
        <w:rPr>
          <w:rFonts w:asciiTheme="minorHAnsi" w:hAnsiTheme="minorHAnsi" w:cstheme="minorHAnsi"/>
        </w:rPr>
        <w:t xml:space="preserve">– in its </w:t>
      </w:r>
      <w:hyperlink r:id="rId27" w:history="1">
        <w:r>
          <w:rPr>
            <w:rStyle w:val="Hyperlink"/>
            <w:rFonts w:asciiTheme="minorHAnsi" w:hAnsiTheme="minorHAnsi" w:cstheme="minorHAnsi"/>
          </w:rPr>
          <w:t>Bachelor of Business</w:t>
        </w:r>
      </w:hyperlink>
      <w:r>
        <w:rPr>
          <w:rFonts w:asciiTheme="minorHAnsi" w:hAnsiTheme="minorHAnsi" w:cstheme="minorHAnsi"/>
        </w:rPr>
        <w:t xml:space="preserve"> </w:t>
      </w:r>
      <w:r w:rsidRPr="00240412">
        <w:rPr>
          <w:rFonts w:asciiTheme="minorHAnsi" w:hAnsiTheme="minorHAnsi" w:cstheme="minorHAnsi"/>
        </w:rPr>
        <w:t xml:space="preserve">in response to industry demand.  Designed in consultation with industry (the Recruitment, Consulting and Staffing Association), graduates of this major will become qualified and sought after recruitment professionals.  They will build their careers identifying and securing the talent that keeps organisations going.  </w:t>
      </w:r>
      <w:r w:rsidRPr="00240412">
        <w:rPr>
          <w:rFonts w:asciiTheme="minorHAnsi" w:hAnsiTheme="minorHAnsi" w:cstheme="minorHAnsi"/>
        </w:rPr>
        <w:br/>
      </w:r>
      <w:r>
        <w:rPr>
          <w:rFonts w:asciiTheme="minorHAnsi" w:hAnsiTheme="minorHAnsi" w:cstheme="minorHAnsi"/>
        </w:rPr>
        <w:br/>
      </w:r>
      <w:r w:rsidRPr="00240412">
        <w:rPr>
          <w:rFonts w:asciiTheme="minorHAnsi" w:hAnsiTheme="minorHAnsi" w:cstheme="minorHAnsi"/>
        </w:rPr>
        <w:t>Based in the discipline of Human Resource Management, a strength of Deakin Business School, this major develops a unique skill set for recruitment careers.  It combines human resources foundations, recruitment technologies, brand management, employment relations and the specifics of talent acquisition.  All these skills will be reinforced with work integrated learning and a business capstone unit.</w:t>
      </w:r>
      <w:r w:rsidRPr="00240412">
        <w:rPr>
          <w:rFonts w:asciiTheme="minorHAnsi" w:hAnsiTheme="minorHAnsi" w:cstheme="minorHAnsi"/>
        </w:rPr>
        <w:br/>
      </w:r>
    </w:p>
    <w:p w14:paraId="569AF3D6" w14:textId="3457C2CB" w:rsidR="00240412" w:rsidRPr="00240412" w:rsidRDefault="00240412" w:rsidP="00240412">
      <w:pPr>
        <w:pStyle w:val="NoSpacing"/>
        <w:rPr>
          <w:rFonts w:asciiTheme="minorHAnsi" w:hAnsiTheme="minorHAnsi" w:cstheme="minorHAnsi"/>
          <w:b/>
          <w:bCs/>
          <w:sz w:val="24"/>
          <w:szCs w:val="24"/>
        </w:rPr>
      </w:pPr>
      <w:r w:rsidRPr="00240412">
        <w:rPr>
          <w:rFonts w:asciiTheme="minorHAnsi" w:hAnsiTheme="minorHAnsi" w:cstheme="minorHAnsi"/>
          <w:b/>
          <w:bCs/>
          <w:sz w:val="24"/>
          <w:szCs w:val="24"/>
        </w:rPr>
        <w:t xml:space="preserve">Find out more by browsing </w:t>
      </w:r>
      <w:hyperlink r:id="rId28" w:history="1">
        <w:r w:rsidRPr="00240412">
          <w:rPr>
            <w:rStyle w:val="Hyperlink"/>
            <w:rFonts w:asciiTheme="minorHAnsi" w:hAnsiTheme="minorHAnsi" w:cstheme="minorHAnsi"/>
            <w:b/>
            <w:bCs/>
            <w:sz w:val="24"/>
            <w:szCs w:val="24"/>
          </w:rPr>
          <w:t>Recruitment and Talent Acquisition major</w:t>
        </w:r>
      </w:hyperlink>
      <w:r w:rsidRPr="00240412">
        <w:rPr>
          <w:rFonts w:asciiTheme="minorHAnsi" w:hAnsiTheme="minorHAnsi" w:cstheme="minorHAnsi"/>
          <w:b/>
          <w:bCs/>
          <w:sz w:val="24"/>
          <w:szCs w:val="24"/>
        </w:rPr>
        <w:t xml:space="preserve">. </w:t>
      </w:r>
    </w:p>
    <w:p w14:paraId="4F0126DE" w14:textId="08B5D42C" w:rsidR="00240412" w:rsidRDefault="00240412" w:rsidP="00240412">
      <w:pPr>
        <w:rPr>
          <w:rStyle w:val="Heading1Char"/>
          <w:rFonts w:asciiTheme="minorHAnsi" w:hAnsiTheme="minorHAnsi" w:cstheme="minorHAnsi"/>
          <w:b w:val="0"/>
          <w:bCs/>
        </w:rPr>
      </w:pPr>
    </w:p>
    <w:p w14:paraId="10396025" w14:textId="77777777" w:rsidR="00352DD3" w:rsidRDefault="00352DD3" w:rsidP="00240412">
      <w:pPr>
        <w:rPr>
          <w:rStyle w:val="Heading1Char"/>
          <w:rFonts w:asciiTheme="minorHAnsi" w:hAnsiTheme="minorHAnsi" w:cstheme="minorHAnsi"/>
          <w:b w:val="0"/>
          <w:bCs/>
        </w:rPr>
      </w:pPr>
    </w:p>
    <w:p w14:paraId="19845D0E" w14:textId="77777777" w:rsidR="005E4682" w:rsidRPr="005E4682" w:rsidRDefault="005E4682" w:rsidP="005E4682">
      <w:pPr>
        <w:rPr>
          <w:rFonts w:asciiTheme="minorHAnsi" w:hAnsiTheme="minorHAnsi" w:cstheme="minorHAnsi"/>
          <w:b/>
          <w:bCs/>
          <w:sz w:val="28"/>
          <w:szCs w:val="28"/>
          <w:u w:val="single"/>
        </w:rPr>
      </w:pPr>
      <w:r w:rsidRPr="005E4682">
        <w:rPr>
          <w:b/>
          <w:bCs/>
          <w:noProof/>
          <w:sz w:val="28"/>
          <w:szCs w:val="28"/>
          <w:u w:val="single"/>
          <w:lang w:eastAsia="en-AU"/>
        </w:rPr>
        <w:drawing>
          <wp:inline distT="0" distB="0" distL="0" distR="0" wp14:anchorId="1BE802DD" wp14:editId="18B9CF37">
            <wp:extent cx="1139190" cy="580763"/>
            <wp:effectExtent l="0" t="0" r="0" b="0"/>
            <wp:docPr id="20" name="Picture 17" descr="Swinbu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burne.gif"/>
                    <pic:cNvPicPr/>
                  </pic:nvPicPr>
                  <pic:blipFill>
                    <a:blip r:embed="rId29" cstate="print"/>
                    <a:stretch>
                      <a:fillRect/>
                    </a:stretch>
                  </pic:blipFill>
                  <pic:spPr>
                    <a:xfrm>
                      <a:off x="0" y="0"/>
                      <a:ext cx="1142558" cy="582480"/>
                    </a:xfrm>
                    <a:prstGeom prst="rect">
                      <a:avLst/>
                    </a:prstGeom>
                  </pic:spPr>
                </pic:pic>
              </a:graphicData>
            </a:graphic>
          </wp:inline>
        </w:drawing>
      </w:r>
      <w:r w:rsidRPr="005E4682">
        <w:rPr>
          <w:rStyle w:val="Heading1Char"/>
          <w:rFonts w:asciiTheme="minorHAnsi" w:hAnsiTheme="minorHAnsi" w:cstheme="minorHAnsi"/>
          <w:b w:val="0"/>
          <w:bCs/>
          <w:sz w:val="28"/>
          <w:szCs w:val="28"/>
          <w:u w:val="single"/>
        </w:rPr>
        <w:t xml:space="preserve"> </w:t>
      </w:r>
      <w:r w:rsidRPr="005E4682">
        <w:rPr>
          <w:rFonts w:asciiTheme="minorHAnsi" w:hAnsiTheme="minorHAnsi" w:cstheme="minorHAnsi"/>
          <w:b/>
          <w:bCs/>
          <w:sz w:val="28"/>
          <w:szCs w:val="28"/>
          <w:u w:val="single"/>
        </w:rPr>
        <w:t>Advanced Diploma of Building Design (Architectural)</w:t>
      </w:r>
    </w:p>
    <w:p w14:paraId="7E977A69" w14:textId="6CD15ABF" w:rsidR="005E4682" w:rsidRDefault="004A447E" w:rsidP="00240412">
      <w:pPr>
        <w:rPr>
          <w:rFonts w:asciiTheme="minorHAnsi" w:hAnsiTheme="minorHAnsi" w:cstheme="minorHAnsi"/>
          <w:bCs/>
          <w:i/>
          <w:iCs/>
        </w:rPr>
      </w:pPr>
      <w:r w:rsidRPr="004A447E">
        <w:rPr>
          <w:rFonts w:asciiTheme="minorHAnsi" w:hAnsiTheme="minorHAnsi" w:cstheme="minorHAnsi"/>
          <w:bCs/>
          <w:i/>
          <w:iCs/>
        </w:rPr>
        <w:t xml:space="preserve">Become familiar with optimal building design and its role in creating new residential, </w:t>
      </w:r>
      <w:proofErr w:type="gramStart"/>
      <w:r w:rsidRPr="004A447E">
        <w:rPr>
          <w:rFonts w:asciiTheme="minorHAnsi" w:hAnsiTheme="minorHAnsi" w:cstheme="minorHAnsi"/>
          <w:bCs/>
          <w:i/>
          <w:iCs/>
        </w:rPr>
        <w:t>industrial</w:t>
      </w:r>
      <w:proofErr w:type="gramEnd"/>
      <w:r w:rsidRPr="004A447E">
        <w:rPr>
          <w:rFonts w:asciiTheme="minorHAnsi" w:hAnsiTheme="minorHAnsi" w:cstheme="minorHAnsi"/>
          <w:bCs/>
          <w:i/>
          <w:iCs/>
        </w:rPr>
        <w:t xml:space="preserve"> and commercial buildings with the Advanced Diploma of Building Design (Architectural). </w:t>
      </w:r>
    </w:p>
    <w:p w14:paraId="271DF0E9" w14:textId="77777777" w:rsidR="004A447E" w:rsidRDefault="004A447E" w:rsidP="00240412">
      <w:pPr>
        <w:rPr>
          <w:rFonts w:asciiTheme="minorHAnsi" w:hAnsiTheme="minorHAnsi" w:cstheme="minorHAnsi"/>
          <w:bCs/>
          <w:i/>
          <w:iCs/>
        </w:rPr>
      </w:pPr>
    </w:p>
    <w:p w14:paraId="64681ABD" w14:textId="11D0E222" w:rsidR="0076136A" w:rsidRDefault="0076136A" w:rsidP="00240412">
      <w:pPr>
        <w:rPr>
          <w:rFonts w:asciiTheme="minorHAnsi" w:hAnsiTheme="minorHAnsi" w:cstheme="minorHAnsi"/>
          <w:bCs/>
        </w:rPr>
      </w:pPr>
      <w:r>
        <w:rPr>
          <w:rFonts w:asciiTheme="minorHAnsi" w:hAnsiTheme="minorHAnsi" w:cstheme="minorHAnsi"/>
          <w:bCs/>
        </w:rPr>
        <w:t>During this two-year course s</w:t>
      </w:r>
      <w:r w:rsidR="004A447E">
        <w:rPr>
          <w:rFonts w:asciiTheme="minorHAnsi" w:hAnsiTheme="minorHAnsi" w:cstheme="minorHAnsi"/>
          <w:bCs/>
        </w:rPr>
        <w:t>tudents l</w:t>
      </w:r>
      <w:r w:rsidR="004A447E" w:rsidRPr="004A447E">
        <w:rPr>
          <w:rFonts w:asciiTheme="minorHAnsi" w:hAnsiTheme="minorHAnsi" w:cstheme="minorHAnsi"/>
          <w:bCs/>
        </w:rPr>
        <w:t xml:space="preserve">earn how to produce quality construction plans in both 2D and 3D </w:t>
      </w:r>
      <w:r>
        <w:rPr>
          <w:rFonts w:asciiTheme="minorHAnsi" w:hAnsiTheme="minorHAnsi" w:cstheme="minorHAnsi"/>
          <w:bCs/>
        </w:rPr>
        <w:t xml:space="preserve">software, as well as </w:t>
      </w:r>
      <w:r w:rsidR="004A447E" w:rsidRPr="004A447E">
        <w:rPr>
          <w:rFonts w:asciiTheme="minorHAnsi" w:hAnsiTheme="minorHAnsi" w:cstheme="minorHAnsi"/>
          <w:bCs/>
        </w:rPr>
        <w:t>develop</w:t>
      </w:r>
      <w:r>
        <w:rPr>
          <w:rFonts w:asciiTheme="minorHAnsi" w:hAnsiTheme="minorHAnsi" w:cstheme="minorHAnsi"/>
          <w:bCs/>
        </w:rPr>
        <w:t>ing</w:t>
      </w:r>
      <w:r w:rsidR="004A447E" w:rsidRPr="004A447E">
        <w:rPr>
          <w:rFonts w:asciiTheme="minorHAnsi" w:hAnsiTheme="minorHAnsi" w:cstheme="minorHAnsi"/>
          <w:bCs/>
        </w:rPr>
        <w:t xml:space="preserve"> business management, problem solving and computer-aided drafting skills.</w:t>
      </w:r>
      <w:r>
        <w:rPr>
          <w:rFonts w:asciiTheme="minorHAnsi" w:hAnsiTheme="minorHAnsi" w:cstheme="minorHAnsi"/>
          <w:bCs/>
        </w:rPr>
        <w:t xml:space="preserve"> </w:t>
      </w:r>
      <w:r w:rsidR="004A447E" w:rsidRPr="004A447E">
        <w:rPr>
          <w:rFonts w:asciiTheme="minorHAnsi" w:hAnsiTheme="minorHAnsi" w:cstheme="minorHAnsi"/>
          <w:bCs/>
        </w:rPr>
        <w:t xml:space="preserve"> Upon graduation, </w:t>
      </w:r>
      <w:r>
        <w:rPr>
          <w:rFonts w:asciiTheme="minorHAnsi" w:hAnsiTheme="minorHAnsi" w:cstheme="minorHAnsi"/>
          <w:bCs/>
        </w:rPr>
        <w:t xml:space="preserve">students </w:t>
      </w:r>
      <w:r w:rsidR="004A447E" w:rsidRPr="004A447E">
        <w:rPr>
          <w:rFonts w:asciiTheme="minorHAnsi" w:hAnsiTheme="minorHAnsi" w:cstheme="minorHAnsi"/>
          <w:bCs/>
        </w:rPr>
        <w:t>receive a recognised accreditation by the Victorian Building Authority – the educational requirement to become a drafting practitioner.</w:t>
      </w:r>
      <w:r>
        <w:rPr>
          <w:rFonts w:asciiTheme="minorHAnsi" w:hAnsiTheme="minorHAnsi" w:cstheme="minorHAnsi"/>
          <w:bCs/>
        </w:rPr>
        <w:t xml:space="preserve">  </w:t>
      </w:r>
      <w:r w:rsidR="00116807" w:rsidRPr="00116807">
        <w:rPr>
          <w:rFonts w:asciiTheme="minorHAnsi" w:hAnsiTheme="minorHAnsi" w:cstheme="minorHAnsi"/>
          <w:bCs/>
        </w:rPr>
        <w:t xml:space="preserve">Graduates may work for building designers, draftspersons, builders, </w:t>
      </w:r>
      <w:proofErr w:type="gramStart"/>
      <w:r w:rsidR="00116807" w:rsidRPr="00116807">
        <w:rPr>
          <w:rFonts w:asciiTheme="minorHAnsi" w:hAnsiTheme="minorHAnsi" w:cstheme="minorHAnsi"/>
          <w:bCs/>
        </w:rPr>
        <w:lastRenderedPageBreak/>
        <w:t>architects</w:t>
      </w:r>
      <w:proofErr w:type="gramEnd"/>
      <w:r w:rsidR="00116807" w:rsidRPr="00116807">
        <w:rPr>
          <w:rFonts w:asciiTheme="minorHAnsi" w:hAnsiTheme="minorHAnsi" w:cstheme="minorHAnsi"/>
          <w:bCs/>
        </w:rPr>
        <w:t xml:space="preserve"> and other design professionals.</w:t>
      </w:r>
      <w:r w:rsidR="00116807">
        <w:rPr>
          <w:rFonts w:asciiTheme="minorHAnsi" w:hAnsiTheme="minorHAnsi" w:cstheme="minorHAnsi"/>
          <w:bCs/>
        </w:rPr>
        <w:t xml:space="preserve">  </w:t>
      </w:r>
      <w:r>
        <w:rPr>
          <w:rFonts w:asciiTheme="minorHAnsi" w:hAnsiTheme="minorHAnsi" w:cstheme="minorHAnsi"/>
          <w:bCs/>
        </w:rPr>
        <w:t xml:space="preserve">Many students go on to study the </w:t>
      </w:r>
      <w:hyperlink r:id="rId30" w:history="1">
        <w:r>
          <w:rPr>
            <w:rStyle w:val="Hyperlink"/>
            <w:rFonts w:asciiTheme="minorHAnsi" w:hAnsiTheme="minorHAnsi" w:cstheme="minorHAnsi"/>
            <w:bCs/>
          </w:rPr>
          <w:t>Bachelor of Design (Architecture)</w:t>
        </w:r>
      </w:hyperlink>
      <w:r w:rsidR="00B00BB4">
        <w:rPr>
          <w:rFonts w:asciiTheme="minorHAnsi" w:hAnsiTheme="minorHAnsi" w:cstheme="minorHAnsi"/>
          <w:bCs/>
        </w:rPr>
        <w:t xml:space="preserve"> and receive credit for some of the units they completed in the diploma.</w:t>
      </w:r>
    </w:p>
    <w:p w14:paraId="2FCA20CC" w14:textId="77777777" w:rsidR="0076136A" w:rsidRDefault="0076136A" w:rsidP="00240412">
      <w:pPr>
        <w:rPr>
          <w:rFonts w:asciiTheme="minorHAnsi" w:hAnsiTheme="minorHAnsi" w:cstheme="minorHAnsi"/>
          <w:bCs/>
        </w:rPr>
      </w:pPr>
    </w:p>
    <w:p w14:paraId="6F71B6B0" w14:textId="4A0BED8B" w:rsidR="004A447E" w:rsidRDefault="004A447E" w:rsidP="00240412">
      <w:pPr>
        <w:rPr>
          <w:rFonts w:asciiTheme="minorHAnsi" w:hAnsiTheme="minorHAnsi" w:cstheme="minorHAnsi"/>
          <w:bCs/>
        </w:rPr>
      </w:pPr>
    </w:p>
    <w:p w14:paraId="125F2A97" w14:textId="77777777" w:rsidR="00720184" w:rsidRPr="00A63CBB" w:rsidRDefault="00720184" w:rsidP="00720184">
      <w:pPr>
        <w:rPr>
          <w:rFonts w:asciiTheme="minorHAnsi" w:eastAsia="Times New Roman" w:hAnsiTheme="minorHAnsi" w:cstheme="minorHAnsi"/>
          <w:b/>
          <w:bCs/>
          <w:sz w:val="26"/>
          <w:szCs w:val="26"/>
          <w:u w:val="single"/>
          <w:lang w:eastAsia="zh-CN"/>
        </w:rPr>
      </w:pPr>
      <w:r w:rsidRPr="00A63CBB">
        <w:rPr>
          <w:rFonts w:asciiTheme="minorHAnsi" w:hAnsiTheme="minorHAnsi" w:cstheme="minorHAnsi"/>
          <w:b/>
          <w:bCs/>
          <w:noProof/>
          <w:sz w:val="32"/>
          <w:szCs w:val="32"/>
          <w:u w:val="single"/>
          <w:lang w:eastAsia="en-AU"/>
        </w:rPr>
        <w:drawing>
          <wp:inline distT="0" distB="0" distL="0" distR="0" wp14:anchorId="5879F547" wp14:editId="59C388D2">
            <wp:extent cx="2292774" cy="421005"/>
            <wp:effectExtent l="0" t="0" r="0" b="0"/>
            <wp:docPr id="24" name="Picture 24" descr="Federation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tion University Australi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45975" cy="430774"/>
                    </a:xfrm>
                    <a:prstGeom prst="rect">
                      <a:avLst/>
                    </a:prstGeom>
                    <a:noFill/>
                    <a:ln>
                      <a:noFill/>
                    </a:ln>
                  </pic:spPr>
                </pic:pic>
              </a:graphicData>
            </a:graphic>
          </wp:inline>
        </w:drawing>
      </w:r>
      <w:r w:rsidRPr="00A63CBB">
        <w:rPr>
          <w:rFonts w:asciiTheme="minorHAnsi" w:hAnsiTheme="minorHAnsi" w:cstheme="minorHAnsi"/>
          <w:b/>
          <w:bCs/>
          <w:sz w:val="32"/>
          <w:szCs w:val="32"/>
          <w:u w:val="single"/>
        </w:rPr>
        <w:t xml:space="preserve">  </w:t>
      </w:r>
      <w:r w:rsidRPr="00A63CBB">
        <w:rPr>
          <w:rFonts w:asciiTheme="minorHAnsi" w:eastAsia="Times New Roman" w:hAnsiTheme="minorHAnsi" w:cstheme="minorHAnsi"/>
          <w:b/>
          <w:bCs/>
          <w:sz w:val="28"/>
          <w:szCs w:val="28"/>
          <w:u w:val="single"/>
        </w:rPr>
        <w:t xml:space="preserve">Pathway to Federation University </w:t>
      </w:r>
    </w:p>
    <w:p w14:paraId="67F1998D" w14:textId="77777777" w:rsidR="00720184" w:rsidRPr="00B96E87" w:rsidRDefault="00720184" w:rsidP="00720184">
      <w:pPr>
        <w:rPr>
          <w:rFonts w:asciiTheme="minorHAnsi" w:eastAsia="Times New Roman" w:hAnsiTheme="minorHAnsi" w:cstheme="minorHAnsi"/>
          <w:i/>
          <w:iCs/>
          <w:highlight w:val="yellow"/>
        </w:rPr>
      </w:pPr>
      <w:r w:rsidRPr="00B96E87">
        <w:rPr>
          <w:rFonts w:asciiTheme="minorHAnsi" w:eastAsia="Times New Roman" w:hAnsiTheme="minorHAnsi" w:cstheme="minorHAnsi"/>
          <w:i/>
          <w:iCs/>
        </w:rPr>
        <w:t>If you thought that university was not for you because you don’t have the academic background or the study skills, or if you have finished year 12 but do not have the entry requirements you need to start a degree, the Foundation Access Studies program (FAST) may be the pathway for you.</w:t>
      </w:r>
      <w:r w:rsidRPr="00B96E87">
        <w:rPr>
          <w:rFonts w:asciiTheme="minorHAnsi" w:eastAsia="Times New Roman" w:hAnsiTheme="minorHAnsi" w:cstheme="minorHAnsi"/>
          <w:i/>
          <w:iCs/>
          <w:highlight w:val="yellow"/>
        </w:rPr>
        <w:br/>
      </w:r>
    </w:p>
    <w:p w14:paraId="3A9CA6FE" w14:textId="4DF5A9D3" w:rsidR="00720184" w:rsidRPr="00B96E87" w:rsidRDefault="00720184" w:rsidP="00720184">
      <w:pPr>
        <w:rPr>
          <w:rFonts w:asciiTheme="minorHAnsi" w:eastAsia="Times New Roman" w:hAnsiTheme="minorHAnsi" w:cstheme="minorHAnsi"/>
        </w:rPr>
      </w:pPr>
      <w:r w:rsidRPr="00B96E87">
        <w:rPr>
          <w:rFonts w:asciiTheme="minorHAnsi" w:eastAsia="Times New Roman" w:hAnsiTheme="minorHAnsi" w:cstheme="minorHAnsi"/>
        </w:rPr>
        <w:t xml:space="preserve">Students who have completed </w:t>
      </w:r>
      <w:r w:rsidR="00E4796D">
        <w:rPr>
          <w:rFonts w:asciiTheme="minorHAnsi" w:eastAsia="Times New Roman" w:hAnsiTheme="minorHAnsi" w:cstheme="minorHAnsi"/>
        </w:rPr>
        <w:t>the VCE Major</w:t>
      </w:r>
      <w:r w:rsidRPr="00B96E87">
        <w:rPr>
          <w:rFonts w:asciiTheme="minorHAnsi" w:eastAsia="Times New Roman" w:hAnsiTheme="minorHAnsi" w:cstheme="minorHAnsi"/>
        </w:rPr>
        <w:t xml:space="preserve"> or an unscored VCE can apply for the </w:t>
      </w:r>
      <w:r w:rsidRPr="00B96E87">
        <w:rPr>
          <w:rFonts w:asciiTheme="minorHAnsi" w:eastAsia="Times New Roman" w:hAnsiTheme="minorHAnsi" w:cstheme="minorHAnsi"/>
          <w:b/>
          <w:bCs/>
          <w:i/>
          <w:iCs/>
        </w:rPr>
        <w:t>Foundation Access Studies (FAST)</w:t>
      </w:r>
      <w:r w:rsidRPr="00B96E87">
        <w:rPr>
          <w:rFonts w:asciiTheme="minorHAnsi" w:eastAsia="Times New Roman" w:hAnsiTheme="minorHAnsi" w:cstheme="minorHAnsi"/>
        </w:rPr>
        <w:t xml:space="preserve"> Program at Federation University.</w:t>
      </w:r>
    </w:p>
    <w:p w14:paraId="26BF1FEA" w14:textId="77777777" w:rsidR="00720184" w:rsidRPr="00A63CBB" w:rsidRDefault="00720184" w:rsidP="00720184">
      <w:pPr>
        <w:rPr>
          <w:rFonts w:asciiTheme="minorHAnsi" w:eastAsia="Times New Roman" w:hAnsiTheme="minorHAnsi" w:cstheme="minorHAnsi"/>
          <w:highlight w:val="yellow"/>
        </w:rPr>
      </w:pPr>
    </w:p>
    <w:p w14:paraId="16BB364F" w14:textId="77777777" w:rsidR="000908B5" w:rsidRPr="00B96E87" w:rsidRDefault="00720184" w:rsidP="000908B5">
      <w:pPr>
        <w:spacing w:after="240"/>
        <w:rPr>
          <w:rFonts w:asciiTheme="minorHAnsi" w:eastAsia="Times New Roman" w:hAnsiTheme="minorHAnsi" w:cstheme="minorHAnsi"/>
        </w:rPr>
      </w:pPr>
      <w:r w:rsidRPr="00B96E87">
        <w:rPr>
          <w:rFonts w:asciiTheme="minorHAnsi" w:eastAsia="Times New Roman" w:hAnsiTheme="minorHAnsi" w:cstheme="minorHAnsi"/>
        </w:rPr>
        <w:t xml:space="preserve">FAST is a single semester program designed to teach students effective study techniques, including academic writing, research, use of university systems and how to apply these skills to their studies.  </w:t>
      </w:r>
      <w:r w:rsidR="000908B5" w:rsidRPr="00E4796D">
        <w:rPr>
          <w:rFonts w:asciiTheme="minorHAnsi" w:eastAsia="Times New Roman" w:hAnsiTheme="minorHAnsi" w:cstheme="minorHAnsi"/>
        </w:rPr>
        <w:t xml:space="preserve">When </w:t>
      </w:r>
      <w:r w:rsidR="000908B5">
        <w:rPr>
          <w:rFonts w:asciiTheme="minorHAnsi" w:eastAsia="Times New Roman" w:hAnsiTheme="minorHAnsi" w:cstheme="minorHAnsi"/>
        </w:rPr>
        <w:t>students</w:t>
      </w:r>
      <w:r w:rsidR="000908B5" w:rsidRPr="00E4796D">
        <w:rPr>
          <w:rFonts w:asciiTheme="minorHAnsi" w:eastAsia="Times New Roman" w:hAnsiTheme="minorHAnsi" w:cstheme="minorHAnsi"/>
        </w:rPr>
        <w:t xml:space="preserve"> have successfully completed FAST, </w:t>
      </w:r>
      <w:r w:rsidR="000908B5">
        <w:rPr>
          <w:rFonts w:asciiTheme="minorHAnsi" w:eastAsia="Times New Roman" w:hAnsiTheme="minorHAnsi" w:cstheme="minorHAnsi"/>
        </w:rPr>
        <w:t>they</w:t>
      </w:r>
      <w:r w:rsidR="000908B5" w:rsidRPr="00E4796D">
        <w:rPr>
          <w:rFonts w:asciiTheme="minorHAnsi" w:eastAsia="Times New Roman" w:hAnsiTheme="minorHAnsi" w:cstheme="minorHAnsi"/>
        </w:rPr>
        <w:t xml:space="preserve"> are guaranteed a place in one of Federation University's undergraduate degrees.</w:t>
      </w:r>
    </w:p>
    <w:p w14:paraId="1F350D31" w14:textId="268079E2" w:rsidR="00720184" w:rsidRDefault="00E4796D" w:rsidP="00720184">
      <w:pPr>
        <w:rPr>
          <w:rFonts w:asciiTheme="minorHAnsi" w:eastAsia="Times New Roman" w:hAnsiTheme="minorHAnsi" w:cstheme="minorHAnsi"/>
        </w:rPr>
      </w:pPr>
      <w:r>
        <w:rPr>
          <w:rFonts w:asciiTheme="minorHAnsi" w:eastAsia="Times New Roman" w:hAnsiTheme="minorHAnsi" w:cstheme="minorHAnsi"/>
          <w:b/>
          <w:bCs/>
        </w:rPr>
        <w:t>A</w:t>
      </w:r>
      <w:r w:rsidRPr="00E4796D">
        <w:rPr>
          <w:rFonts w:asciiTheme="minorHAnsi" w:eastAsia="Times New Roman" w:hAnsiTheme="minorHAnsi" w:cstheme="minorHAnsi"/>
          <w:b/>
          <w:bCs/>
        </w:rPr>
        <w:t xml:space="preserve">ll applicants who have not met the English and Maths pre-requisites through </w:t>
      </w:r>
      <w:r>
        <w:rPr>
          <w:rFonts w:asciiTheme="minorHAnsi" w:eastAsia="Times New Roman" w:hAnsiTheme="minorHAnsi" w:cstheme="minorHAnsi"/>
          <w:b/>
          <w:bCs/>
        </w:rPr>
        <w:t xml:space="preserve">their </w:t>
      </w:r>
      <w:r w:rsidRPr="00E4796D">
        <w:rPr>
          <w:rFonts w:asciiTheme="minorHAnsi" w:eastAsia="Times New Roman" w:hAnsiTheme="minorHAnsi" w:cstheme="minorHAnsi"/>
          <w:b/>
          <w:bCs/>
        </w:rPr>
        <w:t>Year 12 results will be required to complete a literacy and numeracy test</w:t>
      </w:r>
      <w:r w:rsidRPr="00E4796D">
        <w:rPr>
          <w:rFonts w:asciiTheme="minorHAnsi" w:eastAsia="Times New Roman" w:hAnsiTheme="minorHAnsi" w:cstheme="minorHAnsi"/>
        </w:rPr>
        <w:t> to determine their eligibility for admission. In order to qualify for entry into FAST for Engineering, applicants need to complete the Technical Maths entry test.</w:t>
      </w:r>
    </w:p>
    <w:p w14:paraId="0804EF72" w14:textId="77777777" w:rsidR="00E4796D" w:rsidRPr="00A63CBB" w:rsidRDefault="00E4796D" w:rsidP="00720184">
      <w:pPr>
        <w:rPr>
          <w:rFonts w:asciiTheme="minorHAnsi" w:eastAsia="Times New Roman" w:hAnsiTheme="minorHAnsi" w:cstheme="minorHAnsi"/>
          <w:highlight w:val="yellow"/>
        </w:rPr>
      </w:pPr>
    </w:p>
    <w:p w14:paraId="49F9A130" w14:textId="4CFF58FA" w:rsidR="00720184" w:rsidRPr="00B96E87" w:rsidRDefault="00E4796D" w:rsidP="00720184">
      <w:pPr>
        <w:spacing w:after="240"/>
        <w:rPr>
          <w:rFonts w:asciiTheme="minorHAnsi" w:eastAsia="Times New Roman" w:hAnsiTheme="minorHAnsi" w:cstheme="minorHAnsi"/>
        </w:rPr>
      </w:pPr>
      <w:r>
        <w:rPr>
          <w:rFonts w:asciiTheme="minorHAnsi" w:eastAsia="Times New Roman" w:hAnsiTheme="minorHAnsi" w:cstheme="minorHAnsi"/>
        </w:rPr>
        <w:t>Applications</w:t>
      </w:r>
      <w:r w:rsidR="00720184" w:rsidRPr="00A63CBB">
        <w:rPr>
          <w:rFonts w:asciiTheme="minorHAnsi" w:eastAsia="Times New Roman" w:hAnsiTheme="minorHAnsi" w:cstheme="minorHAnsi"/>
        </w:rPr>
        <w:t xml:space="preserve"> to the FAST program </w:t>
      </w:r>
      <w:r>
        <w:rPr>
          <w:rFonts w:asciiTheme="minorHAnsi" w:eastAsia="Times New Roman" w:hAnsiTheme="minorHAnsi" w:cstheme="minorHAnsi"/>
        </w:rPr>
        <w:t xml:space="preserve">should be made </w:t>
      </w:r>
      <w:r w:rsidR="00720184" w:rsidRPr="00A63CBB">
        <w:rPr>
          <w:rFonts w:asciiTheme="minorHAnsi" w:eastAsia="Times New Roman" w:hAnsiTheme="minorHAnsi" w:cstheme="minorHAnsi"/>
        </w:rPr>
        <w:t>via VTAC.  </w:t>
      </w:r>
      <w:r w:rsidR="00720184" w:rsidRPr="00B96E87">
        <w:rPr>
          <w:rFonts w:asciiTheme="minorHAnsi" w:eastAsia="Times New Roman" w:hAnsiTheme="minorHAnsi" w:cstheme="minorHAnsi"/>
        </w:rPr>
        <w:t xml:space="preserve">FAST is the only prerequisite required for many of Federation’s bachelor’s degree programs.  </w:t>
      </w:r>
    </w:p>
    <w:p w14:paraId="6B8495F6" w14:textId="763AAB26" w:rsidR="00720184" w:rsidRPr="00A845D8" w:rsidRDefault="00720184" w:rsidP="00720184">
      <w:pPr>
        <w:rPr>
          <w:rFonts w:asciiTheme="minorHAnsi" w:eastAsia="Times New Roman" w:hAnsiTheme="minorHAnsi" w:cstheme="minorHAnsi"/>
          <w:b/>
          <w:bCs/>
        </w:rPr>
      </w:pPr>
      <w:r w:rsidRPr="00A845D8">
        <w:rPr>
          <w:rFonts w:asciiTheme="minorHAnsi" w:eastAsia="Times New Roman" w:hAnsiTheme="minorHAnsi" w:cstheme="minorHAnsi"/>
          <w:b/>
          <w:bCs/>
        </w:rPr>
        <w:t>More information on Foundation Study of Access Program (FAST) can be found</w:t>
      </w:r>
      <w:r>
        <w:rPr>
          <w:rFonts w:asciiTheme="minorHAnsi" w:eastAsia="Times New Roman" w:hAnsiTheme="minorHAnsi" w:cstheme="minorHAnsi"/>
          <w:b/>
          <w:bCs/>
        </w:rPr>
        <w:t xml:space="preserve"> </w:t>
      </w:r>
      <w:hyperlink r:id="rId32" w:history="1">
        <w:r>
          <w:rPr>
            <w:rStyle w:val="Hyperlink"/>
            <w:rFonts w:asciiTheme="minorHAnsi" w:eastAsia="Times New Roman" w:hAnsiTheme="minorHAnsi" w:cstheme="minorHAnsi"/>
            <w:b/>
            <w:bCs/>
          </w:rPr>
          <w:t>here</w:t>
        </w:r>
      </w:hyperlink>
      <w:r>
        <w:rPr>
          <w:rFonts w:asciiTheme="minorHAnsi" w:eastAsia="Times New Roman" w:hAnsiTheme="minorHAnsi" w:cstheme="minorHAnsi"/>
          <w:b/>
          <w:bCs/>
        </w:rPr>
        <w:t>.</w:t>
      </w:r>
    </w:p>
    <w:p w14:paraId="65B6EC15" w14:textId="77777777" w:rsidR="00B51224" w:rsidRDefault="00B51224">
      <w:pPr>
        <w:rPr>
          <w:rFonts w:asciiTheme="minorHAnsi" w:hAnsiTheme="minorHAnsi" w:cstheme="minorHAnsi"/>
          <w:b/>
          <w:sz w:val="28"/>
          <w:u w:val="single"/>
        </w:rPr>
      </w:pPr>
    </w:p>
    <w:p w14:paraId="5FB3FD06" w14:textId="77777777" w:rsidR="00B51224" w:rsidRDefault="00B51224">
      <w:pPr>
        <w:rPr>
          <w:rFonts w:asciiTheme="minorHAnsi" w:hAnsiTheme="minorHAnsi" w:cstheme="minorHAnsi"/>
          <w:b/>
          <w:sz w:val="28"/>
          <w:u w:val="single"/>
        </w:rPr>
      </w:pPr>
    </w:p>
    <w:p w14:paraId="16FEA606" w14:textId="07D8DB65" w:rsidR="00B51224" w:rsidRPr="005E625E" w:rsidRDefault="00B51224" w:rsidP="00B51224">
      <w:pPr>
        <w:pStyle w:val="NoSpacing"/>
        <w:rPr>
          <w:rFonts w:cs="Calibri"/>
          <w:b/>
          <w:bCs/>
          <w:sz w:val="28"/>
          <w:szCs w:val="28"/>
          <w:u w:val="single"/>
        </w:rPr>
      </w:pPr>
      <w:r w:rsidRPr="0097309F">
        <w:rPr>
          <w:noProof/>
          <w:u w:val="single"/>
          <w:lang w:eastAsia="en-AU"/>
        </w:rPr>
        <w:drawing>
          <wp:inline distT="0" distB="0" distL="0" distR="0" wp14:anchorId="5F4A672C" wp14:editId="524C3DC2">
            <wp:extent cx="1390650" cy="508409"/>
            <wp:effectExtent l="0" t="0" r="0" b="0"/>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33" cstate="print"/>
                    <a:srcRect/>
                    <a:stretch>
                      <a:fillRect/>
                    </a:stretch>
                  </pic:blipFill>
                  <pic:spPr bwMode="auto">
                    <a:xfrm>
                      <a:off x="0" y="0"/>
                      <a:ext cx="1433339" cy="524016"/>
                    </a:xfrm>
                    <a:prstGeom prst="rect">
                      <a:avLst/>
                    </a:prstGeom>
                    <a:noFill/>
                    <a:ln w="9525">
                      <a:noFill/>
                      <a:miter lim="800000"/>
                      <a:headEnd/>
                      <a:tailEnd/>
                    </a:ln>
                  </pic:spPr>
                </pic:pic>
              </a:graphicData>
            </a:graphic>
          </wp:inline>
        </w:drawing>
      </w:r>
      <w:r w:rsidRPr="0097309F">
        <w:rPr>
          <w:rFonts w:cs="Calibri"/>
          <w:b/>
          <w:bCs/>
          <w:sz w:val="28"/>
          <w:szCs w:val="28"/>
          <w:u w:val="single"/>
        </w:rPr>
        <w:t xml:space="preserve"> </w:t>
      </w:r>
      <w:r w:rsidRPr="005E625E">
        <w:rPr>
          <w:rFonts w:cs="Calibri"/>
          <w:b/>
          <w:bCs/>
          <w:sz w:val="28"/>
          <w:szCs w:val="28"/>
          <w:u w:val="single"/>
        </w:rPr>
        <w:t>Electronic and Computer Systems Engineering</w:t>
      </w:r>
    </w:p>
    <w:p w14:paraId="4233FBA9" w14:textId="1F29D78E" w:rsidR="00B51224" w:rsidRPr="00B51224" w:rsidRDefault="00B51224" w:rsidP="00B51224">
      <w:pPr>
        <w:pStyle w:val="NoSpacing"/>
        <w:rPr>
          <w:b/>
          <w:bCs/>
          <w:sz w:val="24"/>
          <w:szCs w:val="24"/>
        </w:rPr>
      </w:pPr>
      <w:r w:rsidRPr="00B51224">
        <w:rPr>
          <w:sz w:val="24"/>
          <w:szCs w:val="24"/>
        </w:rPr>
        <w:t xml:space="preserve">RMIT </w:t>
      </w:r>
      <w:r>
        <w:rPr>
          <w:sz w:val="24"/>
          <w:szCs w:val="24"/>
        </w:rPr>
        <w:t>offers the</w:t>
      </w:r>
      <w:r w:rsidRPr="00B51224">
        <w:rPr>
          <w:sz w:val="24"/>
          <w:szCs w:val="24"/>
        </w:rPr>
        <w:t xml:space="preserve"> </w:t>
      </w:r>
      <w:r w:rsidRPr="00B51224">
        <w:rPr>
          <w:b/>
          <w:bCs/>
          <w:i/>
          <w:iCs/>
          <w:sz w:val="24"/>
          <w:szCs w:val="24"/>
        </w:rPr>
        <w:t>Bachelor of Engineering (Electronic and Computer Systems Engineering) (Honours)</w:t>
      </w:r>
      <w:r w:rsidRPr="00B51224">
        <w:rPr>
          <w:sz w:val="24"/>
          <w:szCs w:val="24"/>
        </w:rPr>
        <w:t xml:space="preserve"> program which merges the electronic, computer systems and telecommunications engineering programs all into one.  </w:t>
      </w:r>
      <w:r>
        <w:rPr>
          <w:sz w:val="24"/>
          <w:szCs w:val="24"/>
        </w:rPr>
        <w:br/>
      </w:r>
      <w:r>
        <w:rPr>
          <w:sz w:val="24"/>
          <w:szCs w:val="24"/>
        </w:rPr>
        <w:br/>
        <w:t xml:space="preserve">Students are </w:t>
      </w:r>
      <w:r w:rsidRPr="00B51224">
        <w:rPr>
          <w:sz w:val="24"/>
          <w:szCs w:val="24"/>
        </w:rPr>
        <w:t xml:space="preserve">able to develop fundamental skills in each field and then choose to specialise in one or more areas based on their interests and career goals.  </w:t>
      </w:r>
      <w:r>
        <w:rPr>
          <w:sz w:val="24"/>
          <w:szCs w:val="24"/>
        </w:rPr>
        <w:t xml:space="preserve">Graduate gain skills that </w:t>
      </w:r>
      <w:r w:rsidRPr="00B51224">
        <w:rPr>
          <w:sz w:val="24"/>
          <w:szCs w:val="24"/>
        </w:rPr>
        <w:t xml:space="preserve">enable </w:t>
      </w:r>
      <w:r>
        <w:rPr>
          <w:sz w:val="24"/>
          <w:szCs w:val="24"/>
        </w:rPr>
        <w:t xml:space="preserve">them </w:t>
      </w:r>
      <w:r w:rsidRPr="00B51224">
        <w:rPr>
          <w:sz w:val="24"/>
          <w:szCs w:val="24"/>
        </w:rPr>
        <w:t>to find better solutions to challenges in the design, construction and maintenance of embedded systems, firmware development, electronic</w:t>
      </w:r>
      <w:r>
        <w:rPr>
          <w:sz w:val="24"/>
          <w:szCs w:val="24"/>
        </w:rPr>
        <w:t xml:space="preserve"> hardware, communication and </w:t>
      </w:r>
      <w:r w:rsidRPr="00B51224">
        <w:rPr>
          <w:sz w:val="24"/>
          <w:szCs w:val="24"/>
        </w:rPr>
        <w:t>network systems.</w:t>
      </w:r>
      <w:r>
        <w:rPr>
          <w:sz w:val="24"/>
          <w:szCs w:val="24"/>
        </w:rPr>
        <w:br/>
      </w:r>
      <w:r>
        <w:rPr>
          <w:sz w:val="24"/>
          <w:szCs w:val="24"/>
        </w:rPr>
        <w:br/>
      </w:r>
      <w:r w:rsidRPr="00B51224">
        <w:rPr>
          <w:b/>
          <w:bCs/>
          <w:sz w:val="24"/>
          <w:szCs w:val="24"/>
        </w:rPr>
        <w:t xml:space="preserve">Browse </w:t>
      </w:r>
      <w:hyperlink r:id="rId34" w:history="1">
        <w:r w:rsidRPr="00B51224">
          <w:rPr>
            <w:rStyle w:val="Hyperlink"/>
            <w:b/>
            <w:bCs/>
            <w:sz w:val="24"/>
            <w:szCs w:val="24"/>
          </w:rPr>
          <w:t>Electronic and Computer Systems Engineering</w:t>
        </w:r>
      </w:hyperlink>
      <w:r w:rsidRPr="00B51224">
        <w:rPr>
          <w:b/>
          <w:bCs/>
          <w:sz w:val="24"/>
          <w:szCs w:val="24"/>
        </w:rPr>
        <w:t xml:space="preserve"> to find out more.</w:t>
      </w:r>
    </w:p>
    <w:p w14:paraId="7777D514" w14:textId="77777777" w:rsidR="00B202CE" w:rsidRDefault="00B202CE">
      <w:pPr>
        <w:rPr>
          <w:rFonts w:asciiTheme="minorHAnsi" w:eastAsia="Calibri" w:hAnsiTheme="minorHAnsi" w:cstheme="minorHAnsi"/>
          <w:b/>
          <w:sz w:val="28"/>
          <w:szCs w:val="22"/>
          <w:u w:val="single"/>
        </w:rPr>
      </w:pPr>
      <w:r>
        <w:rPr>
          <w:rFonts w:asciiTheme="minorHAnsi" w:hAnsiTheme="minorHAnsi" w:cstheme="minorHAnsi"/>
          <w:b/>
          <w:sz w:val="28"/>
          <w:u w:val="single"/>
        </w:rPr>
        <w:br w:type="page"/>
      </w:r>
    </w:p>
    <w:p w14:paraId="4776889E" w14:textId="31E69F3E" w:rsidR="00E81F55" w:rsidRPr="005245E9" w:rsidRDefault="00E81F55" w:rsidP="00E81F55">
      <w:pPr>
        <w:pStyle w:val="NoSpacing"/>
        <w:ind w:left="-340"/>
        <w:rPr>
          <w:rFonts w:asciiTheme="minorHAnsi" w:hAnsiTheme="minorHAnsi" w:cstheme="minorHAnsi"/>
        </w:rPr>
      </w:pPr>
      <w:r w:rsidRPr="005245E9">
        <w:rPr>
          <w:rFonts w:asciiTheme="minorHAnsi" w:hAnsiTheme="minorHAnsi" w:cstheme="minorHAnsi"/>
          <w:b/>
          <w:noProof/>
          <w:sz w:val="28"/>
          <w:szCs w:val="28"/>
          <w:u w:val="single"/>
          <w:lang w:eastAsia="zh-CN"/>
        </w:rPr>
        <w:lastRenderedPageBreak/>
        <w:drawing>
          <wp:inline distT="0" distB="0" distL="0" distR="0" wp14:anchorId="0198E346" wp14:editId="61539A6B">
            <wp:extent cx="1590675" cy="828203"/>
            <wp:effectExtent l="0" t="0" r="0" b="0"/>
            <wp:docPr id="31" name="Picture 31" descr="C:\Users\burja\AppData\Local\Microsoft\Windows\Temporary Internet Files\Content.Outlook\MH1IOYSM\Holmesgl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ja\AppData\Local\Microsoft\Windows\Temporary Internet Files\Content.Outlook\MH1IOYSM\Holmesglen_log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50038" cy="859111"/>
                    </a:xfrm>
                    <a:prstGeom prst="rect">
                      <a:avLst/>
                    </a:prstGeom>
                    <a:noFill/>
                    <a:ln>
                      <a:noFill/>
                    </a:ln>
                  </pic:spPr>
                </pic:pic>
              </a:graphicData>
            </a:graphic>
          </wp:inline>
        </w:drawing>
      </w:r>
      <w:r w:rsidRPr="005245E9">
        <w:rPr>
          <w:rFonts w:asciiTheme="minorHAnsi" w:hAnsiTheme="minorHAnsi" w:cstheme="minorHAnsi"/>
          <w:b/>
          <w:sz w:val="28"/>
          <w:u w:val="single"/>
        </w:rPr>
        <w:t>Snapshot of Holmesglen Institute in 2024</w:t>
      </w:r>
    </w:p>
    <w:p w14:paraId="2963E6FF"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Holmesglen was formed in 1982 and has grown into a very large TAFE provider.</w:t>
      </w:r>
    </w:p>
    <w:p w14:paraId="78A1970E"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 xml:space="preserve">Holmesglen offers over 500 </w:t>
      </w:r>
      <w:hyperlink r:id="rId36" w:history="1">
        <w:r w:rsidRPr="00734570">
          <w:rPr>
            <w:rStyle w:val="Hyperlink"/>
            <w:rFonts w:asciiTheme="minorHAnsi" w:hAnsiTheme="minorHAnsi" w:cstheme="minorHAnsi"/>
            <w:sz w:val="24"/>
            <w:szCs w:val="24"/>
          </w:rPr>
          <w:t>courses</w:t>
        </w:r>
      </w:hyperlink>
      <w:r w:rsidRPr="00734570">
        <w:rPr>
          <w:rFonts w:asciiTheme="minorHAnsi" w:hAnsiTheme="minorHAnsi" w:cstheme="minorHAnsi"/>
          <w:sz w:val="24"/>
          <w:szCs w:val="24"/>
        </w:rPr>
        <w:t xml:space="preserve"> from seven </w:t>
      </w:r>
      <w:hyperlink r:id="rId37" w:history="1">
        <w:r w:rsidRPr="00734570">
          <w:rPr>
            <w:rStyle w:val="Hyperlink"/>
            <w:rFonts w:asciiTheme="minorHAnsi" w:hAnsiTheme="minorHAnsi" w:cstheme="minorHAnsi"/>
            <w:sz w:val="24"/>
            <w:szCs w:val="24"/>
          </w:rPr>
          <w:t>campuses</w:t>
        </w:r>
      </w:hyperlink>
      <w:r w:rsidRPr="00734570">
        <w:rPr>
          <w:rStyle w:val="Hyperlink"/>
          <w:rFonts w:asciiTheme="minorHAnsi" w:hAnsiTheme="minorHAnsi" w:cstheme="minorHAnsi"/>
          <w:sz w:val="24"/>
          <w:szCs w:val="24"/>
        </w:rPr>
        <w:t xml:space="preserve"> </w:t>
      </w:r>
      <w:r w:rsidRPr="00734570">
        <w:rPr>
          <w:rFonts w:asciiTheme="minorHAnsi" w:hAnsiTheme="minorHAnsi" w:cstheme="minorHAnsi"/>
          <w:sz w:val="24"/>
          <w:szCs w:val="24"/>
        </w:rPr>
        <w:t>at six locations, including Chadstone, Moorabbin, Glen Waverley, and Eildon.</w:t>
      </w:r>
    </w:p>
    <w:p w14:paraId="6A2CECCB"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Holmesglen has invested over $25 million the last few years in building world-class facilities at the Moorabbin Campus.  These include four large teaching wards, microbiology, and bioscience laboratories, two</w:t>
      </w:r>
      <w:r w:rsidRPr="00734570">
        <w:rPr>
          <w:rFonts w:asciiTheme="minorHAnsi" w:hAnsiTheme="minorHAnsi" w:cstheme="minorHAnsi"/>
          <w:sz w:val="24"/>
        </w:rPr>
        <w:t xml:space="preserve"> simulation suites, a community apartment, an allied health laboratory, lecture theatres, general teaching spaces, a co-operative learning centre, computer laboratories and teaching and administrative staff offices.  The facilities have state-of-the-art equipment, reflective of industry standards.</w:t>
      </w:r>
    </w:p>
    <w:p w14:paraId="58851990" w14:textId="77777777" w:rsidR="00E81F55" w:rsidRPr="00734570" w:rsidRDefault="00E81F55" w:rsidP="00E81F55">
      <w:pPr>
        <w:pStyle w:val="NoSpacing"/>
        <w:numPr>
          <w:ilvl w:val="0"/>
          <w:numId w:val="9"/>
        </w:numPr>
        <w:ind w:left="0"/>
        <w:rPr>
          <w:rFonts w:asciiTheme="minorHAnsi" w:hAnsiTheme="minorHAnsi" w:cstheme="minorHAnsi"/>
          <w:sz w:val="24"/>
          <w:szCs w:val="24"/>
          <w:lang w:val="en-US"/>
        </w:rPr>
      </w:pPr>
      <w:r w:rsidRPr="00734570">
        <w:rPr>
          <w:rFonts w:asciiTheme="minorHAnsi" w:hAnsiTheme="minorHAnsi" w:cstheme="minorHAnsi"/>
          <w:sz w:val="24"/>
          <w:szCs w:val="24"/>
        </w:rPr>
        <w:t xml:space="preserve">In 2017, </w:t>
      </w:r>
      <w:r w:rsidRPr="00734570">
        <w:rPr>
          <w:rFonts w:asciiTheme="minorHAnsi" w:hAnsiTheme="minorHAnsi" w:cstheme="minorHAnsi"/>
          <w:sz w:val="24"/>
          <w:szCs w:val="24"/>
          <w:lang w:val="en-US"/>
        </w:rPr>
        <w:t>Healthscope opened Australia's first TAFE-based hospital, the Holmesglen Private Hospital.  The</w:t>
      </w:r>
      <w:r w:rsidRPr="00734570">
        <w:rPr>
          <w:rFonts w:asciiTheme="minorHAnsi" w:hAnsiTheme="minorHAnsi" w:cstheme="minorHAnsi"/>
          <w:sz w:val="24"/>
          <w:szCs w:val="24"/>
        </w:rPr>
        <w:t xml:space="preserve"> </w:t>
      </w:r>
      <w:hyperlink r:id="rId38" w:history="1">
        <w:r w:rsidRPr="00734570">
          <w:rPr>
            <w:rStyle w:val="Hyperlink"/>
            <w:rFonts w:asciiTheme="minorHAnsi" w:hAnsiTheme="minorHAnsi" w:cstheme="minorHAnsi"/>
            <w:sz w:val="24"/>
            <w:szCs w:val="24"/>
          </w:rPr>
          <w:t>Holmesglen Private Hospital</w:t>
        </w:r>
      </w:hyperlink>
      <w:r w:rsidRPr="00734570">
        <w:rPr>
          <w:rFonts w:asciiTheme="minorHAnsi" w:hAnsiTheme="minorHAnsi" w:cstheme="minorHAnsi"/>
          <w:sz w:val="24"/>
          <w:szCs w:val="24"/>
        </w:rPr>
        <w:t xml:space="preserve"> is located at the Holmesglen Institute’s Moorabbin campus and provides clinical practice as well as teaching and research for nursing and allied health students.</w:t>
      </w:r>
    </w:p>
    <w:p w14:paraId="05327FC9" w14:textId="77777777" w:rsidR="00E81F55" w:rsidRPr="00734570" w:rsidRDefault="00E81F55" w:rsidP="00E81F55">
      <w:pPr>
        <w:pStyle w:val="NoSpacing"/>
        <w:numPr>
          <w:ilvl w:val="0"/>
          <w:numId w:val="9"/>
        </w:numPr>
        <w:ind w:left="0"/>
        <w:rPr>
          <w:rFonts w:asciiTheme="minorHAnsi" w:hAnsiTheme="minorHAnsi" w:cstheme="minorHAnsi"/>
          <w:sz w:val="24"/>
          <w:szCs w:val="24"/>
          <w:lang w:val="en-US"/>
        </w:rPr>
      </w:pPr>
      <w:r w:rsidRPr="00734570">
        <w:rPr>
          <w:rFonts w:asciiTheme="minorHAnsi" w:hAnsiTheme="minorHAnsi" w:cstheme="minorHAnsi"/>
          <w:sz w:val="24"/>
          <w:szCs w:val="24"/>
        </w:rPr>
        <w:t xml:space="preserve">The </w:t>
      </w:r>
      <w:hyperlink r:id="rId39" w:history="1">
        <w:r w:rsidRPr="00734570">
          <w:rPr>
            <w:rStyle w:val="Hyperlink"/>
            <w:rFonts w:asciiTheme="minorHAnsi" w:hAnsiTheme="minorHAnsi" w:cstheme="minorHAnsi"/>
            <w:sz w:val="24"/>
            <w:szCs w:val="24"/>
          </w:rPr>
          <w:t>Learning Skills Centre</w:t>
        </w:r>
      </w:hyperlink>
      <w:r w:rsidRPr="00734570">
        <w:rPr>
          <w:rFonts w:asciiTheme="minorHAnsi" w:hAnsiTheme="minorHAnsi" w:cstheme="minorHAnsi"/>
          <w:sz w:val="24"/>
          <w:szCs w:val="24"/>
        </w:rPr>
        <w:t xml:space="preserve"> at Holmesglen is there to help students with their studies.  This includes academic referencing, assignment support, note taking, presentation skills, report writing, research skills, study skills, summarising skills, time management.</w:t>
      </w:r>
    </w:p>
    <w:p w14:paraId="7D5CE6A8"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 xml:space="preserve">Holmesglen </w:t>
      </w:r>
      <w:hyperlink r:id="rId40" w:history="1">
        <w:r w:rsidRPr="00734570">
          <w:rPr>
            <w:rStyle w:val="Hyperlink"/>
            <w:rFonts w:asciiTheme="minorHAnsi" w:hAnsiTheme="minorHAnsi" w:cstheme="minorHAnsi"/>
            <w:sz w:val="24"/>
            <w:szCs w:val="24"/>
          </w:rPr>
          <w:t>partners and projects</w:t>
        </w:r>
      </w:hyperlink>
      <w:r w:rsidRPr="00734570">
        <w:rPr>
          <w:rFonts w:asciiTheme="minorHAnsi" w:hAnsiTheme="minorHAnsi" w:cstheme="minorHAnsi"/>
          <w:sz w:val="24"/>
          <w:szCs w:val="24"/>
        </w:rPr>
        <w:t xml:space="preserve"> with industry, are a hallmark of what Holmesglen offers, and covers all areas of its teaching and learning disciplines. </w:t>
      </w:r>
    </w:p>
    <w:p w14:paraId="7009B46A"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 xml:space="preserve">Holmesglen offers </w:t>
      </w:r>
      <w:hyperlink r:id="rId41" w:history="1">
        <w:r w:rsidRPr="00734570">
          <w:rPr>
            <w:rStyle w:val="Hyperlink"/>
            <w:rFonts w:asciiTheme="minorHAnsi" w:hAnsiTheme="minorHAnsi" w:cstheme="minorHAnsi"/>
            <w:sz w:val="24"/>
            <w:szCs w:val="24"/>
          </w:rPr>
          <w:t>Free TAFE priority</w:t>
        </w:r>
      </w:hyperlink>
      <w:r w:rsidRPr="00734570">
        <w:rPr>
          <w:rFonts w:asciiTheme="minorHAnsi" w:hAnsiTheme="minorHAnsi" w:cstheme="minorHAnsi"/>
          <w:sz w:val="24"/>
          <w:szCs w:val="24"/>
        </w:rPr>
        <w:t xml:space="preserve"> courses.</w:t>
      </w:r>
    </w:p>
    <w:p w14:paraId="3F5B2A3D" w14:textId="77777777" w:rsidR="00E81F55" w:rsidRPr="00530783" w:rsidRDefault="00E81F55" w:rsidP="00E81F55">
      <w:pPr>
        <w:pStyle w:val="NoSpacing"/>
        <w:rPr>
          <w:rFonts w:asciiTheme="minorHAnsi" w:hAnsiTheme="minorHAnsi" w:cstheme="minorHAnsi"/>
          <w:highlight w:val="yellow"/>
        </w:rPr>
      </w:pPr>
    </w:p>
    <w:p w14:paraId="27703702" w14:textId="77777777" w:rsidR="00E81F55" w:rsidRPr="00530783" w:rsidRDefault="00E81F55" w:rsidP="00E81F55">
      <w:pPr>
        <w:pStyle w:val="NoSpacing"/>
        <w:rPr>
          <w:rFonts w:asciiTheme="minorHAnsi" w:hAnsiTheme="minorHAnsi" w:cstheme="minorHAnsi"/>
          <w:highlight w:val="yellow"/>
        </w:rPr>
      </w:pPr>
    </w:p>
    <w:p w14:paraId="16FB2132" w14:textId="77777777" w:rsidR="00E81F55" w:rsidRDefault="00E81F55" w:rsidP="00E81F55">
      <w:pPr>
        <w:pStyle w:val="NoSpacing"/>
        <w:jc w:val="center"/>
        <w:rPr>
          <w:rFonts w:asciiTheme="minorHAnsi" w:hAnsiTheme="minorHAnsi" w:cstheme="minorHAnsi"/>
          <w:noProof/>
          <w:lang w:eastAsia="zh-CN"/>
        </w:rPr>
      </w:pPr>
      <w:r w:rsidRPr="00734570">
        <w:rPr>
          <w:rFonts w:asciiTheme="minorHAnsi" w:hAnsiTheme="minorHAnsi" w:cstheme="minorHAnsi"/>
          <w:noProof/>
          <w:lang w:eastAsia="zh-CN"/>
        </w:rPr>
        <w:drawing>
          <wp:inline distT="0" distB="0" distL="0" distR="0" wp14:anchorId="5F57D83B" wp14:editId="480F412D">
            <wp:extent cx="1813560" cy="1633129"/>
            <wp:effectExtent l="0" t="0" r="0" b="5715"/>
            <wp:docPr id="32" name="Picture 32" descr="Building 3, Moorab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 3, Moorabbin"/>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34823" cy="1652276"/>
                    </a:xfrm>
                    <a:prstGeom prst="rect">
                      <a:avLst/>
                    </a:prstGeom>
                    <a:noFill/>
                    <a:ln>
                      <a:noFill/>
                    </a:ln>
                  </pic:spPr>
                </pic:pic>
              </a:graphicData>
            </a:graphic>
          </wp:inline>
        </w:drawing>
      </w:r>
      <w:r w:rsidRPr="00734570">
        <w:rPr>
          <w:rFonts w:asciiTheme="minorHAnsi" w:hAnsiTheme="minorHAnsi" w:cstheme="minorHAnsi"/>
          <w:noProof/>
          <w:lang w:eastAsia="zh-CN"/>
        </w:rPr>
        <w:t xml:space="preserve">               </w:t>
      </w:r>
      <w:r w:rsidRPr="00734570">
        <w:rPr>
          <w:rFonts w:asciiTheme="minorHAnsi" w:hAnsiTheme="minorHAnsi" w:cstheme="minorHAnsi"/>
          <w:noProof/>
          <w:lang w:eastAsia="zh-CN"/>
        </w:rPr>
        <w:drawing>
          <wp:inline distT="0" distB="0" distL="0" distR="0" wp14:anchorId="0C442ADA" wp14:editId="2E2C95F5">
            <wp:extent cx="2377440" cy="1588048"/>
            <wp:effectExtent l="0" t="0" r="3810" b="0"/>
            <wp:docPr id="33" name="Picture 33" descr="Nursing ward at the Moorabbin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ward at the Moorabbin campu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31228" cy="1623976"/>
                    </a:xfrm>
                    <a:prstGeom prst="rect">
                      <a:avLst/>
                    </a:prstGeom>
                    <a:noFill/>
                    <a:ln>
                      <a:noFill/>
                    </a:ln>
                  </pic:spPr>
                </pic:pic>
              </a:graphicData>
            </a:graphic>
          </wp:inline>
        </w:drawing>
      </w:r>
      <w:r>
        <w:rPr>
          <w:rFonts w:asciiTheme="minorHAnsi" w:hAnsiTheme="minorHAnsi" w:cstheme="minorHAnsi"/>
          <w:noProof/>
          <w:lang w:eastAsia="zh-CN"/>
        </w:rPr>
        <w:br/>
      </w:r>
    </w:p>
    <w:p w14:paraId="3B3529FF" w14:textId="77777777" w:rsidR="00E81F55" w:rsidRPr="00734570" w:rsidRDefault="00E81F55" w:rsidP="00E81F55">
      <w:pPr>
        <w:pStyle w:val="NoSpacing"/>
        <w:jc w:val="center"/>
        <w:rPr>
          <w:rFonts w:asciiTheme="minorHAnsi" w:hAnsiTheme="minorHAnsi" w:cstheme="minorHAnsi"/>
        </w:rPr>
      </w:pPr>
      <w:r>
        <w:rPr>
          <w:noProof/>
        </w:rPr>
        <w:drawing>
          <wp:inline distT="0" distB="0" distL="0" distR="0" wp14:anchorId="7F81AAA5" wp14:editId="2A19A8FA">
            <wp:extent cx="2399541" cy="1799790"/>
            <wp:effectExtent l="0" t="0" r="1270" b="0"/>
            <wp:docPr id="1263898536" name="Picture 1" descr="Two women sitting at a table in a room with yellow w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98536" name="Picture 1" descr="Two women sitting at a table in a room with yellow walls&#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20357" cy="1815403"/>
                    </a:xfrm>
                    <a:prstGeom prst="rect">
                      <a:avLst/>
                    </a:prstGeom>
                    <a:noFill/>
                    <a:ln>
                      <a:noFill/>
                    </a:ln>
                  </pic:spPr>
                </pic:pic>
              </a:graphicData>
            </a:graphic>
          </wp:inline>
        </w:drawing>
      </w:r>
    </w:p>
    <w:p w14:paraId="7992F36F" w14:textId="77777777" w:rsidR="00352DD3" w:rsidRDefault="00352DD3" w:rsidP="00240412">
      <w:pPr>
        <w:rPr>
          <w:rStyle w:val="Heading1Char"/>
          <w:rFonts w:asciiTheme="minorHAnsi" w:hAnsiTheme="minorHAnsi" w:cstheme="minorHAnsi"/>
          <w:b w:val="0"/>
          <w:bCs/>
        </w:rPr>
      </w:pPr>
    </w:p>
    <w:p w14:paraId="363559D3" w14:textId="77777777" w:rsidR="00352DD3" w:rsidRPr="00240412" w:rsidRDefault="00352DD3" w:rsidP="00240412">
      <w:pPr>
        <w:rPr>
          <w:rStyle w:val="Heading1Char"/>
          <w:rFonts w:asciiTheme="minorHAnsi" w:hAnsiTheme="minorHAnsi" w:cstheme="minorHAnsi"/>
          <w:b w:val="0"/>
          <w:bCs/>
        </w:rPr>
      </w:pPr>
    </w:p>
    <w:sectPr w:rsidR="00352DD3" w:rsidRPr="00240412" w:rsidSect="00A5032E">
      <w:footerReference w:type="default" r:id="rId4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264E" w14:textId="59D7D932" w:rsidR="004A0EAF" w:rsidRDefault="004A0EAF" w:rsidP="004A0EAF">
    <w:pPr>
      <w:pStyle w:val="Footer"/>
      <w:jc w:val="center"/>
    </w:pPr>
    <w:r>
      <w:t xml:space="preserve">Compass Career News </w:t>
    </w:r>
    <w:r>
      <w:rPr>
        <w:rFonts w:ascii="Calibri" w:hAnsi="Calibri" w:cs="Calibri"/>
      </w:rPr>
      <w:t xml:space="preserve">© </w:t>
    </w:r>
    <w:r>
      <w:t>2024 - for use by subscribers only</w:t>
    </w:r>
  </w:p>
  <w:p w14:paraId="321E11F7" w14:textId="77777777" w:rsidR="004A0EAF" w:rsidRDefault="004A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739C9"/>
    <w:multiLevelType w:val="multilevel"/>
    <w:tmpl w:val="09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F5E77"/>
    <w:multiLevelType w:val="multilevel"/>
    <w:tmpl w:val="6C3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E2598"/>
    <w:multiLevelType w:val="hybridMultilevel"/>
    <w:tmpl w:val="C038D8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77487"/>
    <w:multiLevelType w:val="multilevel"/>
    <w:tmpl w:val="649A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A6549"/>
    <w:multiLevelType w:val="hybridMultilevel"/>
    <w:tmpl w:val="96027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8464DD"/>
    <w:multiLevelType w:val="hybridMultilevel"/>
    <w:tmpl w:val="4896F17A"/>
    <w:lvl w:ilvl="0" w:tplc="9A0889C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7D4FC8"/>
    <w:multiLevelType w:val="hybridMultilevel"/>
    <w:tmpl w:val="22B2921E"/>
    <w:lvl w:ilvl="0" w:tplc="1950880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CA7831"/>
    <w:multiLevelType w:val="hybridMultilevel"/>
    <w:tmpl w:val="A3604B0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D47561"/>
    <w:multiLevelType w:val="hybridMultilevel"/>
    <w:tmpl w:val="D29066B0"/>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E5411D"/>
    <w:multiLevelType w:val="hybridMultilevel"/>
    <w:tmpl w:val="6C7C5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140310">
    <w:abstractNumId w:val="7"/>
  </w:num>
  <w:num w:numId="2" w16cid:durableId="1688293801">
    <w:abstractNumId w:val="10"/>
  </w:num>
  <w:num w:numId="3" w16cid:durableId="1789469261">
    <w:abstractNumId w:val="8"/>
  </w:num>
  <w:num w:numId="4" w16cid:durableId="622854397">
    <w:abstractNumId w:val="4"/>
  </w:num>
  <w:num w:numId="5" w16cid:durableId="37364908">
    <w:abstractNumId w:val="6"/>
  </w:num>
  <w:num w:numId="6" w16cid:durableId="1221936531">
    <w:abstractNumId w:val="0"/>
  </w:num>
  <w:num w:numId="7" w16cid:durableId="1155300796">
    <w:abstractNumId w:val="9"/>
  </w:num>
  <w:num w:numId="8" w16cid:durableId="1008870085">
    <w:abstractNumId w:val="2"/>
  </w:num>
  <w:num w:numId="9" w16cid:durableId="1583029860">
    <w:abstractNumId w:val="5"/>
  </w:num>
  <w:num w:numId="10" w16cid:durableId="1067844936">
    <w:abstractNumId w:val="1"/>
  </w:num>
  <w:num w:numId="11" w16cid:durableId="18928864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32D9"/>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845"/>
    <w:rsid w:val="000249D9"/>
    <w:rsid w:val="000249ED"/>
    <w:rsid w:val="00024D7B"/>
    <w:rsid w:val="000251EF"/>
    <w:rsid w:val="00025225"/>
    <w:rsid w:val="000259BB"/>
    <w:rsid w:val="00025EC2"/>
    <w:rsid w:val="00030778"/>
    <w:rsid w:val="0003090A"/>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D20"/>
    <w:rsid w:val="00055EAC"/>
    <w:rsid w:val="00056289"/>
    <w:rsid w:val="000562E7"/>
    <w:rsid w:val="0005630C"/>
    <w:rsid w:val="000566F8"/>
    <w:rsid w:val="00056A9B"/>
    <w:rsid w:val="0005741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26C"/>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44D"/>
    <w:rsid w:val="0008388C"/>
    <w:rsid w:val="00083928"/>
    <w:rsid w:val="0008420A"/>
    <w:rsid w:val="00084267"/>
    <w:rsid w:val="000847A4"/>
    <w:rsid w:val="00084E77"/>
    <w:rsid w:val="0008614A"/>
    <w:rsid w:val="000862F7"/>
    <w:rsid w:val="000871FA"/>
    <w:rsid w:val="00087589"/>
    <w:rsid w:val="0009037B"/>
    <w:rsid w:val="00090765"/>
    <w:rsid w:val="0009087B"/>
    <w:rsid w:val="000908B5"/>
    <w:rsid w:val="00090CC5"/>
    <w:rsid w:val="000918BB"/>
    <w:rsid w:val="00091B2C"/>
    <w:rsid w:val="000929DA"/>
    <w:rsid w:val="00092F54"/>
    <w:rsid w:val="0009315C"/>
    <w:rsid w:val="0009337E"/>
    <w:rsid w:val="000934B3"/>
    <w:rsid w:val="0009384A"/>
    <w:rsid w:val="00093868"/>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9A8"/>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B5E"/>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1D71"/>
    <w:rsid w:val="000C2391"/>
    <w:rsid w:val="000C2C44"/>
    <w:rsid w:val="000C3313"/>
    <w:rsid w:val="000C33A2"/>
    <w:rsid w:val="000C3F21"/>
    <w:rsid w:val="000C48F6"/>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34D"/>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44A"/>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807"/>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9E5"/>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1F90"/>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0CBC"/>
    <w:rsid w:val="001411FA"/>
    <w:rsid w:val="00141733"/>
    <w:rsid w:val="00141ACC"/>
    <w:rsid w:val="00142875"/>
    <w:rsid w:val="0014314B"/>
    <w:rsid w:val="001432BE"/>
    <w:rsid w:val="00144073"/>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C58"/>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3D3C"/>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A28"/>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4E19"/>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732"/>
    <w:rsid w:val="002358E2"/>
    <w:rsid w:val="00235B23"/>
    <w:rsid w:val="002362B6"/>
    <w:rsid w:val="00236433"/>
    <w:rsid w:val="00236473"/>
    <w:rsid w:val="00236A38"/>
    <w:rsid w:val="00236C10"/>
    <w:rsid w:val="00236FF5"/>
    <w:rsid w:val="00237B95"/>
    <w:rsid w:val="00240412"/>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BBE"/>
    <w:rsid w:val="00246CF9"/>
    <w:rsid w:val="00247224"/>
    <w:rsid w:val="002473BA"/>
    <w:rsid w:val="002476FF"/>
    <w:rsid w:val="00250656"/>
    <w:rsid w:val="00250B4F"/>
    <w:rsid w:val="00250CBD"/>
    <w:rsid w:val="0025148F"/>
    <w:rsid w:val="00251781"/>
    <w:rsid w:val="00251CBC"/>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5E4F"/>
    <w:rsid w:val="0028626B"/>
    <w:rsid w:val="0028631F"/>
    <w:rsid w:val="002865E8"/>
    <w:rsid w:val="00286671"/>
    <w:rsid w:val="0028693D"/>
    <w:rsid w:val="00286CA5"/>
    <w:rsid w:val="00286D79"/>
    <w:rsid w:val="00287F99"/>
    <w:rsid w:val="002901E9"/>
    <w:rsid w:val="002909FC"/>
    <w:rsid w:val="00290FDA"/>
    <w:rsid w:val="00291036"/>
    <w:rsid w:val="002917D1"/>
    <w:rsid w:val="00291937"/>
    <w:rsid w:val="00292C91"/>
    <w:rsid w:val="00293129"/>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CA1"/>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4C33"/>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1ECF"/>
    <w:rsid w:val="003020E7"/>
    <w:rsid w:val="00302618"/>
    <w:rsid w:val="003028FC"/>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6B0"/>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84A"/>
    <w:rsid w:val="00341AD1"/>
    <w:rsid w:val="00341ECE"/>
    <w:rsid w:val="00342918"/>
    <w:rsid w:val="00342993"/>
    <w:rsid w:val="00342A07"/>
    <w:rsid w:val="00342F61"/>
    <w:rsid w:val="003431E0"/>
    <w:rsid w:val="003434FB"/>
    <w:rsid w:val="00343C18"/>
    <w:rsid w:val="00343DEA"/>
    <w:rsid w:val="00343E78"/>
    <w:rsid w:val="003443A7"/>
    <w:rsid w:val="00344792"/>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2DD3"/>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6"/>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0E4"/>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6EC"/>
    <w:rsid w:val="003E1C8B"/>
    <w:rsid w:val="003E2639"/>
    <w:rsid w:val="003E266A"/>
    <w:rsid w:val="003E31ED"/>
    <w:rsid w:val="003E33C4"/>
    <w:rsid w:val="003E362D"/>
    <w:rsid w:val="003E369E"/>
    <w:rsid w:val="003E3C77"/>
    <w:rsid w:val="003E4090"/>
    <w:rsid w:val="003E497E"/>
    <w:rsid w:val="003E4D23"/>
    <w:rsid w:val="003E5A92"/>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541"/>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9AA"/>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3E2"/>
    <w:rsid w:val="00423FA5"/>
    <w:rsid w:val="00424385"/>
    <w:rsid w:val="0042461F"/>
    <w:rsid w:val="00424BE9"/>
    <w:rsid w:val="004251F5"/>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A6B"/>
    <w:rsid w:val="004331EC"/>
    <w:rsid w:val="004333DF"/>
    <w:rsid w:val="004339CE"/>
    <w:rsid w:val="00433BAC"/>
    <w:rsid w:val="00433D84"/>
    <w:rsid w:val="0043415E"/>
    <w:rsid w:val="0043454B"/>
    <w:rsid w:val="00434D96"/>
    <w:rsid w:val="00434F0E"/>
    <w:rsid w:val="004350A7"/>
    <w:rsid w:val="004355CA"/>
    <w:rsid w:val="00435A76"/>
    <w:rsid w:val="00435D0B"/>
    <w:rsid w:val="00436439"/>
    <w:rsid w:val="004368E8"/>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837"/>
    <w:rsid w:val="00450FD6"/>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57B09"/>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40F"/>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95"/>
    <w:rsid w:val="00486024"/>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390"/>
    <w:rsid w:val="00493579"/>
    <w:rsid w:val="00493CD0"/>
    <w:rsid w:val="00493ED3"/>
    <w:rsid w:val="00494362"/>
    <w:rsid w:val="00494739"/>
    <w:rsid w:val="00495040"/>
    <w:rsid w:val="004951D4"/>
    <w:rsid w:val="004955CE"/>
    <w:rsid w:val="004958B5"/>
    <w:rsid w:val="00495FE5"/>
    <w:rsid w:val="00496389"/>
    <w:rsid w:val="00496A57"/>
    <w:rsid w:val="00496E14"/>
    <w:rsid w:val="00497396"/>
    <w:rsid w:val="00497DFE"/>
    <w:rsid w:val="004A0006"/>
    <w:rsid w:val="004A0715"/>
    <w:rsid w:val="004A0B5C"/>
    <w:rsid w:val="004A0EAF"/>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7E"/>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447"/>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450"/>
    <w:rsid w:val="004B791A"/>
    <w:rsid w:val="004B7961"/>
    <w:rsid w:val="004B7C8B"/>
    <w:rsid w:val="004B7E38"/>
    <w:rsid w:val="004B7F82"/>
    <w:rsid w:val="004C00D5"/>
    <w:rsid w:val="004C02F6"/>
    <w:rsid w:val="004C1A88"/>
    <w:rsid w:val="004C1C34"/>
    <w:rsid w:val="004C1C75"/>
    <w:rsid w:val="004C327A"/>
    <w:rsid w:val="004C3345"/>
    <w:rsid w:val="004C33D5"/>
    <w:rsid w:val="004C3803"/>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465"/>
    <w:rsid w:val="004F5633"/>
    <w:rsid w:val="004F576F"/>
    <w:rsid w:val="004F5BAF"/>
    <w:rsid w:val="004F5C5B"/>
    <w:rsid w:val="004F630D"/>
    <w:rsid w:val="004F69B8"/>
    <w:rsid w:val="004F7107"/>
    <w:rsid w:val="004F76D1"/>
    <w:rsid w:val="004F7792"/>
    <w:rsid w:val="004F7925"/>
    <w:rsid w:val="004F7B7A"/>
    <w:rsid w:val="004F7D9E"/>
    <w:rsid w:val="004F7DD5"/>
    <w:rsid w:val="00501B81"/>
    <w:rsid w:val="00501E65"/>
    <w:rsid w:val="0050254F"/>
    <w:rsid w:val="00502646"/>
    <w:rsid w:val="00502C6B"/>
    <w:rsid w:val="00503B59"/>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481D"/>
    <w:rsid w:val="005155FE"/>
    <w:rsid w:val="00515887"/>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6E2E"/>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71B"/>
    <w:rsid w:val="00560ECA"/>
    <w:rsid w:val="00560FA4"/>
    <w:rsid w:val="00560FE2"/>
    <w:rsid w:val="0056147D"/>
    <w:rsid w:val="00561CBA"/>
    <w:rsid w:val="00562082"/>
    <w:rsid w:val="00562225"/>
    <w:rsid w:val="0056279E"/>
    <w:rsid w:val="005631BB"/>
    <w:rsid w:val="00563275"/>
    <w:rsid w:val="005648B5"/>
    <w:rsid w:val="0056545E"/>
    <w:rsid w:val="005659DD"/>
    <w:rsid w:val="00565CF0"/>
    <w:rsid w:val="00565ECD"/>
    <w:rsid w:val="00566083"/>
    <w:rsid w:val="00566687"/>
    <w:rsid w:val="00566A80"/>
    <w:rsid w:val="00566EFB"/>
    <w:rsid w:val="00566F6F"/>
    <w:rsid w:val="005670F9"/>
    <w:rsid w:val="0056734A"/>
    <w:rsid w:val="0056763E"/>
    <w:rsid w:val="00570FF4"/>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5F95"/>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9C7"/>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C7DF1"/>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B1A"/>
    <w:rsid w:val="005D4D56"/>
    <w:rsid w:val="005D5682"/>
    <w:rsid w:val="005D5BCC"/>
    <w:rsid w:val="005D6A66"/>
    <w:rsid w:val="005D7B58"/>
    <w:rsid w:val="005E0611"/>
    <w:rsid w:val="005E0659"/>
    <w:rsid w:val="005E0E27"/>
    <w:rsid w:val="005E1760"/>
    <w:rsid w:val="005E1BC9"/>
    <w:rsid w:val="005E1E07"/>
    <w:rsid w:val="005E2506"/>
    <w:rsid w:val="005E2618"/>
    <w:rsid w:val="005E2A3E"/>
    <w:rsid w:val="005E2F25"/>
    <w:rsid w:val="005E3303"/>
    <w:rsid w:val="005E4682"/>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5B7"/>
    <w:rsid w:val="005F5862"/>
    <w:rsid w:val="005F5B17"/>
    <w:rsid w:val="005F5BB8"/>
    <w:rsid w:val="005F62BF"/>
    <w:rsid w:val="005F678A"/>
    <w:rsid w:val="005F6ED9"/>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D3F"/>
    <w:rsid w:val="00620E11"/>
    <w:rsid w:val="00621849"/>
    <w:rsid w:val="00621A68"/>
    <w:rsid w:val="00621ADF"/>
    <w:rsid w:val="00621BA6"/>
    <w:rsid w:val="00622B0C"/>
    <w:rsid w:val="00622CF6"/>
    <w:rsid w:val="00622EBF"/>
    <w:rsid w:val="00622F39"/>
    <w:rsid w:val="00623088"/>
    <w:rsid w:val="006233EC"/>
    <w:rsid w:val="00623D7B"/>
    <w:rsid w:val="0062458E"/>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0EE9"/>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43"/>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70043"/>
    <w:rsid w:val="00670133"/>
    <w:rsid w:val="0067018A"/>
    <w:rsid w:val="00670314"/>
    <w:rsid w:val="00670581"/>
    <w:rsid w:val="006718BA"/>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040"/>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D08"/>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7D9"/>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28EF"/>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11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E78"/>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CB9"/>
    <w:rsid w:val="00710E40"/>
    <w:rsid w:val="00711039"/>
    <w:rsid w:val="0071167E"/>
    <w:rsid w:val="00711787"/>
    <w:rsid w:val="00711A97"/>
    <w:rsid w:val="00711AB0"/>
    <w:rsid w:val="00712ED2"/>
    <w:rsid w:val="0071328C"/>
    <w:rsid w:val="00713A5D"/>
    <w:rsid w:val="00713C4D"/>
    <w:rsid w:val="00713E0D"/>
    <w:rsid w:val="007140F1"/>
    <w:rsid w:val="00715089"/>
    <w:rsid w:val="00716092"/>
    <w:rsid w:val="00716905"/>
    <w:rsid w:val="00716A58"/>
    <w:rsid w:val="00716CD6"/>
    <w:rsid w:val="00717192"/>
    <w:rsid w:val="007174D6"/>
    <w:rsid w:val="0071753F"/>
    <w:rsid w:val="00717E57"/>
    <w:rsid w:val="00720184"/>
    <w:rsid w:val="00720305"/>
    <w:rsid w:val="007206E3"/>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4A0"/>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C42"/>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792"/>
    <w:rsid w:val="0075690D"/>
    <w:rsid w:val="00756FD7"/>
    <w:rsid w:val="007579E6"/>
    <w:rsid w:val="00757B25"/>
    <w:rsid w:val="00757B49"/>
    <w:rsid w:val="00757D71"/>
    <w:rsid w:val="00757F10"/>
    <w:rsid w:val="007602C5"/>
    <w:rsid w:val="00760A6C"/>
    <w:rsid w:val="00760ACD"/>
    <w:rsid w:val="00760D93"/>
    <w:rsid w:val="0076136A"/>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2F"/>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8B7"/>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69E"/>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A7E49"/>
    <w:rsid w:val="007B113F"/>
    <w:rsid w:val="007B11DA"/>
    <w:rsid w:val="007B1529"/>
    <w:rsid w:val="007B16BC"/>
    <w:rsid w:val="007B237B"/>
    <w:rsid w:val="007B23CE"/>
    <w:rsid w:val="007B23E1"/>
    <w:rsid w:val="007B24F2"/>
    <w:rsid w:val="007B25C3"/>
    <w:rsid w:val="007B26BC"/>
    <w:rsid w:val="007B36A3"/>
    <w:rsid w:val="007B3B48"/>
    <w:rsid w:val="007B441C"/>
    <w:rsid w:val="007B4E86"/>
    <w:rsid w:val="007B514E"/>
    <w:rsid w:val="007B5704"/>
    <w:rsid w:val="007B5A3A"/>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41D1"/>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BA4"/>
    <w:rsid w:val="00805FA0"/>
    <w:rsid w:val="00806095"/>
    <w:rsid w:val="00806149"/>
    <w:rsid w:val="008078E9"/>
    <w:rsid w:val="00807946"/>
    <w:rsid w:val="00807FC0"/>
    <w:rsid w:val="008102ED"/>
    <w:rsid w:val="0081049B"/>
    <w:rsid w:val="00810CA2"/>
    <w:rsid w:val="0081251F"/>
    <w:rsid w:val="0081295E"/>
    <w:rsid w:val="00812969"/>
    <w:rsid w:val="00812B43"/>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308"/>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101"/>
    <w:rsid w:val="00831245"/>
    <w:rsid w:val="00831A0B"/>
    <w:rsid w:val="00831BF3"/>
    <w:rsid w:val="00832082"/>
    <w:rsid w:val="0083224E"/>
    <w:rsid w:val="0083265C"/>
    <w:rsid w:val="0083378F"/>
    <w:rsid w:val="008337DE"/>
    <w:rsid w:val="0083422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944"/>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932"/>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1C"/>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751"/>
    <w:rsid w:val="008A79A4"/>
    <w:rsid w:val="008A7C9D"/>
    <w:rsid w:val="008B0974"/>
    <w:rsid w:val="008B0A25"/>
    <w:rsid w:val="008B0D35"/>
    <w:rsid w:val="008B17A1"/>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3D30"/>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5CB"/>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8BC"/>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4A7"/>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402"/>
    <w:rsid w:val="00924940"/>
    <w:rsid w:val="0092496A"/>
    <w:rsid w:val="00924CE0"/>
    <w:rsid w:val="00925025"/>
    <w:rsid w:val="00925097"/>
    <w:rsid w:val="009257CD"/>
    <w:rsid w:val="00925893"/>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00"/>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DCF"/>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695"/>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80177"/>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367"/>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1F55"/>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6F3"/>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E72"/>
    <w:rsid w:val="00A12F0B"/>
    <w:rsid w:val="00A13016"/>
    <w:rsid w:val="00A130DB"/>
    <w:rsid w:val="00A137EA"/>
    <w:rsid w:val="00A13820"/>
    <w:rsid w:val="00A138C0"/>
    <w:rsid w:val="00A13A5A"/>
    <w:rsid w:val="00A13C01"/>
    <w:rsid w:val="00A14C1D"/>
    <w:rsid w:val="00A14DF1"/>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5CCF"/>
    <w:rsid w:val="00A2619C"/>
    <w:rsid w:val="00A26256"/>
    <w:rsid w:val="00A26355"/>
    <w:rsid w:val="00A26C88"/>
    <w:rsid w:val="00A27144"/>
    <w:rsid w:val="00A27360"/>
    <w:rsid w:val="00A278EA"/>
    <w:rsid w:val="00A30CB5"/>
    <w:rsid w:val="00A31660"/>
    <w:rsid w:val="00A324E5"/>
    <w:rsid w:val="00A32B40"/>
    <w:rsid w:val="00A32B8C"/>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5F94"/>
    <w:rsid w:val="00A4626B"/>
    <w:rsid w:val="00A4648A"/>
    <w:rsid w:val="00A46689"/>
    <w:rsid w:val="00A469CB"/>
    <w:rsid w:val="00A46B53"/>
    <w:rsid w:val="00A472A5"/>
    <w:rsid w:val="00A472E9"/>
    <w:rsid w:val="00A47619"/>
    <w:rsid w:val="00A47F86"/>
    <w:rsid w:val="00A50206"/>
    <w:rsid w:val="00A5032E"/>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5613"/>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07C7"/>
    <w:rsid w:val="00AC1401"/>
    <w:rsid w:val="00AC1B51"/>
    <w:rsid w:val="00AC27BC"/>
    <w:rsid w:val="00AC2B76"/>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BB4"/>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2CE"/>
    <w:rsid w:val="00B20536"/>
    <w:rsid w:val="00B20C11"/>
    <w:rsid w:val="00B2114D"/>
    <w:rsid w:val="00B21574"/>
    <w:rsid w:val="00B21841"/>
    <w:rsid w:val="00B21AB2"/>
    <w:rsid w:val="00B21AFA"/>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6BF"/>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224"/>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3C4F"/>
    <w:rsid w:val="00B83EC9"/>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28B"/>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E51"/>
    <w:rsid w:val="00BC7F0F"/>
    <w:rsid w:val="00BD051C"/>
    <w:rsid w:val="00BD0B6E"/>
    <w:rsid w:val="00BD1A7D"/>
    <w:rsid w:val="00BD1AA1"/>
    <w:rsid w:val="00BD1B1A"/>
    <w:rsid w:val="00BD1ECB"/>
    <w:rsid w:val="00BD28BF"/>
    <w:rsid w:val="00BD2AC1"/>
    <w:rsid w:val="00BD2E83"/>
    <w:rsid w:val="00BD2EC3"/>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235"/>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6EF1"/>
    <w:rsid w:val="00C07257"/>
    <w:rsid w:val="00C07387"/>
    <w:rsid w:val="00C1064B"/>
    <w:rsid w:val="00C10B49"/>
    <w:rsid w:val="00C10D02"/>
    <w:rsid w:val="00C11077"/>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0ACE"/>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125F"/>
    <w:rsid w:val="00C317ED"/>
    <w:rsid w:val="00C319EE"/>
    <w:rsid w:val="00C32D0D"/>
    <w:rsid w:val="00C333F8"/>
    <w:rsid w:val="00C33D1B"/>
    <w:rsid w:val="00C33D35"/>
    <w:rsid w:val="00C344D7"/>
    <w:rsid w:val="00C34922"/>
    <w:rsid w:val="00C34BAA"/>
    <w:rsid w:val="00C355C3"/>
    <w:rsid w:val="00C35B4F"/>
    <w:rsid w:val="00C35BA1"/>
    <w:rsid w:val="00C35C46"/>
    <w:rsid w:val="00C35CEB"/>
    <w:rsid w:val="00C35E9C"/>
    <w:rsid w:val="00C361BA"/>
    <w:rsid w:val="00C3624F"/>
    <w:rsid w:val="00C37586"/>
    <w:rsid w:val="00C375CB"/>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A24"/>
    <w:rsid w:val="00C52C37"/>
    <w:rsid w:val="00C52E56"/>
    <w:rsid w:val="00C52EA6"/>
    <w:rsid w:val="00C52F5B"/>
    <w:rsid w:val="00C5404D"/>
    <w:rsid w:val="00C54490"/>
    <w:rsid w:val="00C558BF"/>
    <w:rsid w:val="00C558DC"/>
    <w:rsid w:val="00C55A79"/>
    <w:rsid w:val="00C56051"/>
    <w:rsid w:val="00C561A2"/>
    <w:rsid w:val="00C56231"/>
    <w:rsid w:val="00C56335"/>
    <w:rsid w:val="00C5649F"/>
    <w:rsid w:val="00C572A3"/>
    <w:rsid w:val="00C6038D"/>
    <w:rsid w:val="00C60551"/>
    <w:rsid w:val="00C60E02"/>
    <w:rsid w:val="00C612B9"/>
    <w:rsid w:val="00C61DCF"/>
    <w:rsid w:val="00C62F9A"/>
    <w:rsid w:val="00C63320"/>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D26"/>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97AD1"/>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C5B"/>
    <w:rsid w:val="00CC2D4C"/>
    <w:rsid w:val="00CC2E99"/>
    <w:rsid w:val="00CC2F3D"/>
    <w:rsid w:val="00CC2F91"/>
    <w:rsid w:val="00CC3A20"/>
    <w:rsid w:val="00CC3BDA"/>
    <w:rsid w:val="00CC3D19"/>
    <w:rsid w:val="00CC4250"/>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9C0"/>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5"/>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CDC"/>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3F2E"/>
    <w:rsid w:val="00D747FB"/>
    <w:rsid w:val="00D7491D"/>
    <w:rsid w:val="00D74A01"/>
    <w:rsid w:val="00D74BBC"/>
    <w:rsid w:val="00D74C61"/>
    <w:rsid w:val="00D74F0F"/>
    <w:rsid w:val="00D75B6B"/>
    <w:rsid w:val="00D75FF9"/>
    <w:rsid w:val="00D765E3"/>
    <w:rsid w:val="00D76695"/>
    <w:rsid w:val="00D769FD"/>
    <w:rsid w:val="00D76B68"/>
    <w:rsid w:val="00D76B9E"/>
    <w:rsid w:val="00D77921"/>
    <w:rsid w:val="00D779A8"/>
    <w:rsid w:val="00D807F0"/>
    <w:rsid w:val="00D80965"/>
    <w:rsid w:val="00D80A9A"/>
    <w:rsid w:val="00D80B09"/>
    <w:rsid w:val="00D80BA7"/>
    <w:rsid w:val="00D80E56"/>
    <w:rsid w:val="00D81CCC"/>
    <w:rsid w:val="00D81E0F"/>
    <w:rsid w:val="00D82B51"/>
    <w:rsid w:val="00D82F36"/>
    <w:rsid w:val="00D834AE"/>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5C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6D5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07"/>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45AB"/>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37909"/>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96D"/>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1F55"/>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88F"/>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223"/>
    <w:rsid w:val="00EC3643"/>
    <w:rsid w:val="00EC3B67"/>
    <w:rsid w:val="00EC43E4"/>
    <w:rsid w:val="00EC4838"/>
    <w:rsid w:val="00EC4846"/>
    <w:rsid w:val="00EC48AB"/>
    <w:rsid w:val="00EC52E2"/>
    <w:rsid w:val="00EC58E5"/>
    <w:rsid w:val="00EC645C"/>
    <w:rsid w:val="00EC7AD8"/>
    <w:rsid w:val="00EC7DD2"/>
    <w:rsid w:val="00EC7F1D"/>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16A"/>
    <w:rsid w:val="00EF0EE3"/>
    <w:rsid w:val="00EF12C4"/>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17E97"/>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08BA"/>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1CF"/>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A4D"/>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2FC8"/>
    <w:rsid w:val="00FB32B3"/>
    <w:rsid w:val="00FB3A28"/>
    <w:rsid w:val="00FB40FA"/>
    <w:rsid w:val="00FB4229"/>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239"/>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283E"/>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0A7"/>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 w:type="character" w:customStyle="1" w:styleId="markcnx8nwt2o">
    <w:name w:val="markcnx8nwt2o"/>
    <w:basedOn w:val="DefaultParagraphFont"/>
    <w:rsid w:val="00352DD3"/>
  </w:style>
  <w:style w:type="character" w:customStyle="1" w:styleId="mark2skl8rz9u">
    <w:name w:val="mark2skl8rz9u"/>
    <w:basedOn w:val="DefaultParagraphFont"/>
    <w:rsid w:val="00352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49906849">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08479421">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7077482">
      <w:bodyDiv w:val="1"/>
      <w:marLeft w:val="0"/>
      <w:marRight w:val="0"/>
      <w:marTop w:val="0"/>
      <w:marBottom w:val="0"/>
      <w:divBdr>
        <w:top w:val="none" w:sz="0" w:space="0" w:color="auto"/>
        <w:left w:val="none" w:sz="0" w:space="0" w:color="auto"/>
        <w:bottom w:val="none" w:sz="0" w:space="0" w:color="auto"/>
        <w:right w:val="none" w:sz="0" w:space="0" w:color="auto"/>
      </w:divBdr>
      <w:divsChild>
        <w:div w:id="1086876439">
          <w:marLeft w:val="0"/>
          <w:marRight w:val="0"/>
          <w:marTop w:val="150"/>
          <w:marBottom w:val="150"/>
          <w:divBdr>
            <w:top w:val="none" w:sz="0" w:space="0" w:color="auto"/>
            <w:left w:val="none" w:sz="0" w:space="0" w:color="auto"/>
            <w:bottom w:val="none" w:sz="0" w:space="0" w:color="auto"/>
            <w:right w:val="none" w:sz="0" w:space="0" w:color="auto"/>
          </w:divBdr>
          <w:divsChild>
            <w:div w:id="936325962">
              <w:marLeft w:val="0"/>
              <w:marRight w:val="0"/>
              <w:marTop w:val="150"/>
              <w:marBottom w:val="150"/>
              <w:divBdr>
                <w:top w:val="none" w:sz="0" w:space="0" w:color="auto"/>
                <w:left w:val="none" w:sz="0" w:space="0" w:color="auto"/>
                <w:bottom w:val="none" w:sz="0" w:space="0" w:color="auto"/>
                <w:right w:val="none" w:sz="0" w:space="0" w:color="auto"/>
              </w:divBdr>
            </w:div>
          </w:divsChild>
        </w:div>
        <w:div w:id="2030330033">
          <w:marLeft w:val="0"/>
          <w:marRight w:val="0"/>
          <w:marTop w:val="150"/>
          <w:marBottom w:val="150"/>
          <w:divBdr>
            <w:top w:val="none" w:sz="0" w:space="0" w:color="auto"/>
            <w:left w:val="none" w:sz="0" w:space="0" w:color="auto"/>
            <w:bottom w:val="none" w:sz="0" w:space="0" w:color="auto"/>
            <w:right w:val="none" w:sz="0" w:space="0" w:color="auto"/>
          </w:divBdr>
          <w:divsChild>
            <w:div w:id="749783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1675179">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78400759">
      <w:bodyDiv w:val="1"/>
      <w:marLeft w:val="0"/>
      <w:marRight w:val="0"/>
      <w:marTop w:val="0"/>
      <w:marBottom w:val="0"/>
      <w:divBdr>
        <w:top w:val="none" w:sz="0" w:space="0" w:color="auto"/>
        <w:left w:val="none" w:sz="0" w:space="0" w:color="auto"/>
        <w:bottom w:val="none" w:sz="0" w:space="0" w:color="auto"/>
        <w:right w:val="none" w:sz="0" w:space="0" w:color="auto"/>
      </w:divBdr>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gif"/><Relationship Id="rId18" Type="http://schemas.openxmlformats.org/officeDocument/2006/relationships/hyperlink" Target="https://tuckwell.anu.edu.au/apply/attributes-tuckwell-scholar" TargetMode="External"/><Relationship Id="rId26" Type="http://schemas.openxmlformats.org/officeDocument/2006/relationships/image" Target="media/image6.png"/><Relationship Id="rId39" Type="http://schemas.openxmlformats.org/officeDocument/2006/relationships/hyperlink" Target="https://holmesglen.edu.au/Students/Learning-Skills-Centre/" TargetMode="External"/><Relationship Id="rId3" Type="http://schemas.openxmlformats.org/officeDocument/2006/relationships/styles" Target="styles.xml"/><Relationship Id="rId21" Type="http://schemas.openxmlformats.org/officeDocument/2006/relationships/hyperlink" Target="https://tuckwell.anu.edu.au/files/2024-10/2026%20Application%20Guide_PDF.pdf" TargetMode="External"/><Relationship Id="rId34" Type="http://schemas.openxmlformats.org/officeDocument/2006/relationships/hyperlink" Target="https://www.rmit.edu.au/study-with-us/levels-of-study/undergraduate-study/honours-degrees/bachelor-of-engineering-electronic-and-computer-systems-engineering-honours-bh073" TargetMode="External"/><Relationship Id="rId42" Type="http://schemas.openxmlformats.org/officeDocument/2006/relationships/image" Target="media/image11.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robe.edu.au/" TargetMode="External"/><Relationship Id="rId17" Type="http://schemas.openxmlformats.org/officeDocument/2006/relationships/image" Target="media/image4.jpeg"/><Relationship Id="rId25" Type="http://schemas.openxmlformats.org/officeDocument/2006/relationships/hyperlink" Target="https://www.monash.edu/study/courses/find-a-course/learning-design-and-technology-d2003" TargetMode="External"/><Relationship Id="rId33" Type="http://schemas.openxmlformats.org/officeDocument/2006/relationships/image" Target="media/image9.jpeg"/><Relationship Id="rId38" Type="http://schemas.openxmlformats.org/officeDocument/2006/relationships/hyperlink" Target="http://www.holmesglenprivatehospital.com.a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trobe.edu.au/courses/master-of-counselling-rehabilitation-and-mental-health" TargetMode="External"/><Relationship Id="rId20" Type="http://schemas.openxmlformats.org/officeDocument/2006/relationships/hyperlink" Target="https://tuckwell.anu.edu.au/" TargetMode="External"/><Relationship Id="rId29" Type="http://schemas.openxmlformats.org/officeDocument/2006/relationships/image" Target="media/image7.gif"/><Relationship Id="rId41" Type="http://schemas.openxmlformats.org/officeDocument/2006/relationships/hyperlink" Target="https://holmesglen.edu.au/Students/Fees/Free-TAFE-for-priority-cour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ac.edu.au" TargetMode="External"/><Relationship Id="rId24" Type="http://schemas.openxmlformats.org/officeDocument/2006/relationships/hyperlink" Target="https://www.monash.edu/study/courses/find-a-course/higher-education-d0501" TargetMode="External"/><Relationship Id="rId32" Type="http://schemas.openxmlformats.org/officeDocument/2006/relationships/hyperlink" Target="https://www.federation.edu.au/courses/DFS0-Federation-Access-Studies-FAST" TargetMode="External"/><Relationship Id="rId37" Type="http://schemas.openxmlformats.org/officeDocument/2006/relationships/hyperlink" Target="https://www.holmesglen.edu.au/about-us/campuses" TargetMode="External"/><Relationship Id="rId40" Type="http://schemas.openxmlformats.org/officeDocument/2006/relationships/hyperlink" Target="https://www.holmesglen.edu.au/about-us/our-institute/partners-and-project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andbook.latrobe.edu.au/aos/2024/MAJOR-RHC-1" TargetMode="External"/><Relationship Id="rId23" Type="http://schemas.openxmlformats.org/officeDocument/2006/relationships/hyperlink" Target="https://www.monash.edu/study/courses/find-a-course/learning-design-and-technology-d2003" TargetMode="External"/><Relationship Id="rId28" Type="http://schemas.openxmlformats.org/officeDocument/2006/relationships/hyperlink" Target="https://www.deakin.edu.au/courses/major/recruitment-and-talent-acquisition-bachelor-business" TargetMode="External"/><Relationship Id="rId36" Type="http://schemas.openxmlformats.org/officeDocument/2006/relationships/hyperlink" Target="https://holmesglen.edu.au/Courses/" TargetMode="External"/><Relationship Id="rId10" Type="http://schemas.openxmlformats.org/officeDocument/2006/relationships/hyperlink" Target="http://www.vtac.edu.au/courses-inst/courseupdates.html" TargetMode="External"/><Relationship Id="rId19" Type="http://schemas.openxmlformats.org/officeDocument/2006/relationships/hyperlink" Target="https://tuckwell.anu.edu.au/apply/connected-committed-australia" TargetMode="External"/><Relationship Id="rId31" Type="http://schemas.openxmlformats.org/officeDocument/2006/relationships/image" Target="media/image8.gif"/><Relationship Id="rId44"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atrobe.edu.au/courses/bachelor-of-health-sciences" TargetMode="External"/><Relationship Id="rId22" Type="http://schemas.openxmlformats.org/officeDocument/2006/relationships/image" Target="media/image5.gif"/><Relationship Id="rId27" Type="http://schemas.openxmlformats.org/officeDocument/2006/relationships/hyperlink" Target="https://www.deakin.edu.au/course/bachelor-business" TargetMode="External"/><Relationship Id="rId30" Type="http://schemas.openxmlformats.org/officeDocument/2006/relationships/hyperlink" Target="https://www.swinburne.edu.au/course/undergraduate/bachelor-of-design-architecture/" TargetMode="External"/><Relationship Id="rId35" Type="http://schemas.openxmlformats.org/officeDocument/2006/relationships/image" Target="media/image10.jpeg"/><Relationship Id="rId43" Type="http://schemas.openxmlformats.org/officeDocument/2006/relationships/image" Target="media/image12.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11604</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Jacky Burton</cp:lastModifiedBy>
  <cp:revision>4</cp:revision>
  <cp:lastPrinted>2015-02-02T01:43:00Z</cp:lastPrinted>
  <dcterms:created xsi:type="dcterms:W3CDTF">2024-10-31T04:16:00Z</dcterms:created>
  <dcterms:modified xsi:type="dcterms:W3CDTF">2024-10-31T04:23:00Z</dcterms:modified>
</cp:coreProperties>
</file>