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7" w:rsidRDefault="004836D4" w:rsidP="004836D4">
      <w:pPr>
        <w:pStyle w:val="BodyText"/>
        <w:spacing w:before="3"/>
        <w:ind w:left="0" w:firstLine="0"/>
        <w:jc w:val="center"/>
        <w:rPr>
          <w:b/>
          <w:sz w:val="30"/>
        </w:rPr>
      </w:pPr>
      <w:r w:rsidRPr="00461A8D">
        <w:rPr>
          <w:noProof/>
          <w:color w:val="FF0000"/>
          <w:lang w:eastAsia="en-AU"/>
        </w:rPr>
        <w:drawing>
          <wp:inline distT="0" distB="0" distL="0" distR="0" wp14:anchorId="1015CFAD" wp14:editId="2FCCEA2E">
            <wp:extent cx="2514600" cy="1200150"/>
            <wp:effectExtent l="0" t="0" r="0" b="0"/>
            <wp:docPr id="13" name="Picture 13" descr="Tri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rin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4" w:rsidRDefault="004836D4">
      <w:pPr>
        <w:pStyle w:val="Title"/>
        <w:rPr>
          <w:color w:val="212121"/>
        </w:rPr>
      </w:pPr>
    </w:p>
    <w:p w:rsidR="00721BD7" w:rsidRDefault="004836D4">
      <w:pPr>
        <w:pStyle w:val="Title"/>
      </w:pPr>
      <w:r>
        <w:rPr>
          <w:color w:val="212121"/>
        </w:rPr>
        <w:t xml:space="preserve">Returning to school: 7 tips for parents/carers to help Primary children cope </w:t>
      </w:r>
      <w:bookmarkStart w:id="0" w:name="_GoBack"/>
      <w:bookmarkEnd w:id="0"/>
    </w:p>
    <w:p w:rsidR="00721BD7" w:rsidRDefault="00721BD7">
      <w:pPr>
        <w:pStyle w:val="BodyText"/>
        <w:spacing w:before="10"/>
        <w:ind w:left="0" w:firstLine="0"/>
        <w:rPr>
          <w:b/>
          <w:sz w:val="24"/>
        </w:rPr>
      </w:pPr>
    </w:p>
    <w:p w:rsidR="00721BD7" w:rsidRDefault="004836D4">
      <w:pPr>
        <w:pStyle w:val="Heading1"/>
        <w:ind w:left="100" w:firstLine="0"/>
      </w:pPr>
      <w:r>
        <w:rPr>
          <w:color w:val="212121"/>
        </w:rPr>
        <w:t xml:space="preserve">Adapted from: </w:t>
      </w:r>
      <w:hyperlink r:id="rId6">
        <w:r>
          <w:rPr>
            <w:color w:val="0000FF"/>
            <w:u w:val="single" w:color="0000FF"/>
          </w:rPr>
          <w:t>Parent zone</w:t>
        </w:r>
      </w:hyperlink>
    </w:p>
    <w:p w:rsidR="00721BD7" w:rsidRDefault="00721BD7">
      <w:pPr>
        <w:pStyle w:val="BodyText"/>
        <w:spacing w:before="10"/>
        <w:ind w:left="0" w:firstLine="0"/>
        <w:rPr>
          <w:b/>
          <w:sz w:val="17"/>
        </w:rPr>
      </w:pPr>
    </w:p>
    <w:p w:rsidR="00721BD7" w:rsidRDefault="004836D4">
      <w:pPr>
        <w:pStyle w:val="BodyText"/>
        <w:spacing w:before="56" w:line="242" w:lineRule="auto"/>
        <w:ind w:left="100" w:firstLine="0"/>
      </w:pPr>
      <w:r>
        <w:rPr>
          <w:color w:val="212121"/>
        </w:rPr>
        <w:t>After months of remote learning and a range of COVID19 restrictions, children will be returning to school routines, classrooms, classmates, teachers, expectations and, in some cases, even new school settings.</w:t>
      </w:r>
    </w:p>
    <w:p w:rsidR="00721BD7" w:rsidRDefault="00721BD7">
      <w:pPr>
        <w:pStyle w:val="BodyText"/>
        <w:spacing w:before="3"/>
        <w:ind w:left="0" w:firstLine="0"/>
      </w:pPr>
    </w:p>
    <w:p w:rsidR="00721BD7" w:rsidRDefault="004836D4">
      <w:pPr>
        <w:pStyle w:val="BodyText"/>
        <w:spacing w:line="242" w:lineRule="auto"/>
        <w:ind w:left="100" w:right="293" w:firstLine="0"/>
      </w:pPr>
      <w:r>
        <w:rPr>
          <w:color w:val="212121"/>
        </w:rPr>
        <w:t>Amid the anticipation and excite</w:t>
      </w:r>
      <w:r>
        <w:rPr>
          <w:color w:val="212121"/>
        </w:rPr>
        <w:t>ment many children are feeling, for some, leaving the home learning routine and environment may create anxiety for a range of reasons including: the ongoing uncertainty of COVID19; social distancing and hygiene measures in place; family circumstances relat</w:t>
      </w:r>
      <w:r>
        <w:rPr>
          <w:color w:val="212121"/>
        </w:rPr>
        <w:t>ed to health; grief associated with a recent loss; or economic circumstances.</w:t>
      </w:r>
    </w:p>
    <w:p w:rsidR="00721BD7" w:rsidRDefault="00721BD7">
      <w:pPr>
        <w:pStyle w:val="BodyText"/>
        <w:spacing w:before="1"/>
        <w:ind w:left="0" w:firstLine="0"/>
      </w:pPr>
    </w:p>
    <w:p w:rsidR="00721BD7" w:rsidRDefault="004836D4">
      <w:pPr>
        <w:pStyle w:val="BodyText"/>
        <w:spacing w:line="244" w:lineRule="auto"/>
        <w:ind w:left="100" w:right="263" w:firstLine="0"/>
      </w:pPr>
      <w:r>
        <w:rPr>
          <w:color w:val="212121"/>
        </w:rPr>
        <w:t>To prepare and support students’ return to onsite learning and the school/classroom environment, consider the following tips:</w:t>
      </w:r>
    </w:p>
    <w:p w:rsidR="00721BD7" w:rsidRDefault="00721BD7">
      <w:pPr>
        <w:pStyle w:val="BodyText"/>
        <w:spacing w:before="9"/>
        <w:ind w:left="0" w:firstLine="0"/>
      </w:pPr>
    </w:p>
    <w:p w:rsidR="00721BD7" w:rsidRDefault="004836D4">
      <w:pPr>
        <w:pStyle w:val="Heading1"/>
        <w:numPr>
          <w:ilvl w:val="0"/>
          <w:numId w:val="2"/>
        </w:numPr>
        <w:tabs>
          <w:tab w:val="left" w:pos="317"/>
        </w:tabs>
        <w:ind w:hanging="217"/>
      </w:pPr>
      <w:r>
        <w:rPr>
          <w:color w:val="212121"/>
        </w:rPr>
        <w:t>Talk to your children about how they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feel</w:t>
      </w:r>
    </w:p>
    <w:p w:rsidR="00721BD7" w:rsidRDefault="00721BD7">
      <w:pPr>
        <w:pStyle w:val="BodyText"/>
        <w:spacing w:before="8"/>
        <w:ind w:left="0" w:firstLine="0"/>
        <w:rPr>
          <w:b/>
        </w:rPr>
      </w:pP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80" w:lineRule="exact"/>
      </w:pPr>
      <w:r>
        <w:rPr>
          <w:color w:val="212121"/>
        </w:rPr>
        <w:t>It is important to encourage children to discuss their feelings about returning to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school.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62"/>
      </w:pPr>
      <w:r>
        <w:rPr>
          <w:color w:val="212121"/>
        </w:rPr>
        <w:t>If they feel anxious or worried, help them understand this is perfectly normal, and that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you and their teachers are there to support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them.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 w:line="279" w:lineRule="exact"/>
      </w:pPr>
      <w:r>
        <w:rPr>
          <w:color w:val="212121"/>
        </w:rPr>
        <w:t>Although difficult, try no</w:t>
      </w:r>
      <w:r>
        <w:rPr>
          <w:color w:val="212121"/>
        </w:rPr>
        <w:t>t to share any anxiety you may be feeling with your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children.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141"/>
      </w:pPr>
      <w:r>
        <w:rPr>
          <w:color w:val="212121"/>
        </w:rPr>
        <w:t xml:space="preserve">Bear in mind that your child may be returning to a pre-existing issue from before remote learning – for example, a bullying or relationship issue, or difficulty with </w:t>
      </w:r>
      <w:proofErr w:type="gramStart"/>
      <w:r>
        <w:rPr>
          <w:color w:val="212121"/>
        </w:rPr>
        <w:t>school work</w:t>
      </w:r>
      <w:proofErr w:type="gramEnd"/>
      <w:r>
        <w:rPr>
          <w:color w:val="212121"/>
        </w:rPr>
        <w:t xml:space="preserve"> or staff – or th</w:t>
      </w:r>
      <w:r>
        <w:rPr>
          <w:color w:val="212121"/>
        </w:rPr>
        <w:t>ey may be preparing for the transition to secondary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school.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 w:line="242" w:lineRule="auto"/>
        <w:ind w:right="355"/>
      </w:pPr>
      <w:r>
        <w:rPr>
          <w:color w:val="212121"/>
        </w:rPr>
        <w:t>Try to give them a non-judgemental and supportive place to share any worries. Younger children,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particular,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always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words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express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feelings,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find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 way of bringing up the conversation without putting pressure on them – for </w:t>
      </w:r>
      <w:proofErr w:type="gramStart"/>
      <w:r>
        <w:rPr>
          <w:color w:val="212121"/>
        </w:rPr>
        <w:t>instance</w:t>
      </w:r>
      <w:proofErr w:type="gramEnd"/>
      <w:r>
        <w:rPr>
          <w:color w:val="212121"/>
        </w:rPr>
        <w:t xml:space="preserve"> when you’re playing with them or going for a walk. This can help them to open up naturally and identify what </w:t>
      </w:r>
      <w:proofErr w:type="gramStart"/>
      <w:r>
        <w:rPr>
          <w:color w:val="212121"/>
        </w:rPr>
        <w:t>they’re</w:t>
      </w:r>
      <w:proofErr w:type="gramEnd"/>
      <w:r>
        <w:rPr>
          <w:color w:val="212121"/>
        </w:rPr>
        <w:t xml:space="preserve"> worried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about.</w:t>
      </w:r>
    </w:p>
    <w:p w:rsidR="00721BD7" w:rsidRDefault="00721BD7">
      <w:pPr>
        <w:pStyle w:val="BodyText"/>
        <w:spacing w:before="3"/>
        <w:ind w:left="0" w:firstLine="0"/>
      </w:pPr>
    </w:p>
    <w:p w:rsidR="00721BD7" w:rsidRDefault="004836D4">
      <w:pPr>
        <w:pStyle w:val="Heading1"/>
        <w:numPr>
          <w:ilvl w:val="0"/>
          <w:numId w:val="2"/>
        </w:numPr>
        <w:tabs>
          <w:tab w:val="left" w:pos="317"/>
        </w:tabs>
        <w:ind w:hanging="217"/>
      </w:pPr>
      <w:r>
        <w:rPr>
          <w:color w:val="212121"/>
        </w:rPr>
        <w:t>Pack right, pack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light</w:t>
      </w:r>
    </w:p>
    <w:p w:rsidR="00721BD7" w:rsidRDefault="00721BD7">
      <w:pPr>
        <w:pStyle w:val="BodyText"/>
        <w:spacing w:before="8"/>
        <w:ind w:left="0" w:firstLine="0"/>
        <w:rPr>
          <w:b/>
        </w:rPr>
      </w:pP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83"/>
      </w:pPr>
      <w:r>
        <w:rPr>
          <w:color w:val="212121"/>
        </w:rPr>
        <w:t>Your school w</w:t>
      </w:r>
      <w:r>
        <w:rPr>
          <w:color w:val="212121"/>
        </w:rPr>
        <w:t xml:space="preserve">ill have been in touch to let you know what your child should and </w:t>
      </w:r>
      <w:proofErr w:type="gramStart"/>
      <w:r>
        <w:rPr>
          <w:color w:val="212121"/>
        </w:rPr>
        <w:t>shouldn’t</w:t>
      </w:r>
      <w:proofErr w:type="gramEnd"/>
      <w:r>
        <w:rPr>
          <w:color w:val="212121"/>
        </w:rPr>
        <w:t xml:space="preserve"> bring on their return. </w:t>
      </w:r>
      <w:proofErr w:type="spellStart"/>
      <w:r>
        <w:rPr>
          <w:color w:val="212121"/>
        </w:rPr>
        <w:t>Eg</w:t>
      </w:r>
      <w:proofErr w:type="spellEnd"/>
      <w:r>
        <w:rPr>
          <w:color w:val="212121"/>
        </w:rPr>
        <w:t xml:space="preserve">. </w:t>
      </w:r>
      <w:proofErr w:type="gramStart"/>
      <w:r>
        <w:rPr>
          <w:color w:val="212121"/>
        </w:rPr>
        <w:t>bring</w:t>
      </w:r>
      <w:proofErr w:type="gramEnd"/>
      <w:r>
        <w:rPr>
          <w:color w:val="212121"/>
        </w:rPr>
        <w:t xml:space="preserve"> an individual water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bottle.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4" w:lineRule="auto"/>
        <w:ind w:right="623"/>
      </w:pPr>
      <w:r>
        <w:rPr>
          <w:color w:val="212121"/>
        </w:rPr>
        <w:t xml:space="preserve">Make sure you have checked with your school about what they need in order to make your </w:t>
      </w:r>
      <w:proofErr w:type="gramStart"/>
      <w:r>
        <w:rPr>
          <w:color w:val="212121"/>
        </w:rPr>
        <w:t>child’s</w:t>
      </w:r>
      <w:proofErr w:type="gramEnd"/>
      <w:r>
        <w:rPr>
          <w:color w:val="212121"/>
        </w:rPr>
        <w:t xml:space="preserve"> day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easier.</w:t>
      </w:r>
    </w:p>
    <w:p w:rsidR="00721BD7" w:rsidRDefault="00721BD7">
      <w:pPr>
        <w:pStyle w:val="BodyText"/>
        <w:spacing w:before="3"/>
        <w:ind w:left="0" w:firstLine="0"/>
      </w:pPr>
    </w:p>
    <w:p w:rsidR="00721BD7" w:rsidRDefault="004836D4">
      <w:pPr>
        <w:pStyle w:val="Heading1"/>
        <w:numPr>
          <w:ilvl w:val="0"/>
          <w:numId w:val="2"/>
        </w:numPr>
        <w:tabs>
          <w:tab w:val="left" w:pos="317"/>
        </w:tabs>
        <w:ind w:hanging="217"/>
      </w:pPr>
      <w:r>
        <w:rPr>
          <w:color w:val="212121"/>
        </w:rPr>
        <w:t>Support children to understand the school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procedures</w:t>
      </w:r>
    </w:p>
    <w:p w:rsidR="00721BD7" w:rsidRDefault="00721BD7">
      <w:pPr>
        <w:pStyle w:val="BodyText"/>
        <w:spacing w:before="8"/>
        <w:ind w:left="0" w:firstLine="0"/>
        <w:rPr>
          <w:b/>
        </w:rPr>
      </w:pP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373"/>
      </w:pPr>
      <w:r>
        <w:rPr>
          <w:color w:val="212121"/>
        </w:rPr>
        <w:t>Your school will also have been in touch to explain various procedures in place – such as entry points, break times and hand washing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routines.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 w:line="280" w:lineRule="exact"/>
      </w:pPr>
      <w:r>
        <w:rPr>
          <w:color w:val="212121"/>
        </w:rPr>
        <w:t xml:space="preserve">If you </w:t>
      </w:r>
      <w:proofErr w:type="gramStart"/>
      <w:r>
        <w:rPr>
          <w:color w:val="212121"/>
        </w:rPr>
        <w:t>haven’t</w:t>
      </w:r>
      <w:proofErr w:type="gramEnd"/>
      <w:r>
        <w:rPr>
          <w:color w:val="212121"/>
        </w:rPr>
        <w:t xml:space="preserve"> received this information or are unsure you should contact your school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office.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897"/>
      </w:pPr>
      <w:r>
        <w:rPr>
          <w:color w:val="212121"/>
        </w:rPr>
        <w:t>It will be important for your child to understand social distancing and hygiene rules and, importantly, why they are in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place.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35" w:lineRule="auto"/>
        <w:ind w:right="322"/>
      </w:pPr>
      <w:r>
        <w:rPr>
          <w:color w:val="212121"/>
        </w:rPr>
        <w:t>Read school communications with you</w:t>
      </w:r>
      <w:r>
        <w:rPr>
          <w:color w:val="212121"/>
        </w:rPr>
        <w:t>r child and make sure they are prepared and know what to expect when they arrive at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school.</w:t>
      </w:r>
    </w:p>
    <w:p w:rsidR="00721BD7" w:rsidRDefault="00721BD7">
      <w:pPr>
        <w:spacing w:line="235" w:lineRule="auto"/>
        <w:sectPr w:rsidR="00721BD7">
          <w:type w:val="continuous"/>
          <w:pgSz w:w="11910" w:h="16840"/>
          <w:pgMar w:top="1080" w:right="1340" w:bottom="280" w:left="1340" w:header="720" w:footer="720" w:gutter="0"/>
          <w:cols w:space="720"/>
        </w:sectPr>
      </w:pPr>
    </w:p>
    <w:p w:rsidR="00721BD7" w:rsidRDefault="004836D4">
      <w:pPr>
        <w:pStyle w:val="Heading1"/>
        <w:numPr>
          <w:ilvl w:val="0"/>
          <w:numId w:val="2"/>
        </w:numPr>
        <w:tabs>
          <w:tab w:val="left" w:pos="317"/>
        </w:tabs>
        <w:spacing w:before="36"/>
        <w:ind w:hanging="217"/>
      </w:pPr>
      <w:r>
        <w:rPr>
          <w:color w:val="212121"/>
        </w:rPr>
        <w:lastRenderedPageBreak/>
        <w:t>Familiarise yourself with school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procedures</w:t>
      </w:r>
    </w:p>
    <w:p w:rsidR="00721BD7" w:rsidRDefault="00721BD7">
      <w:pPr>
        <w:pStyle w:val="BodyText"/>
        <w:spacing w:before="5"/>
        <w:ind w:left="0" w:firstLine="0"/>
        <w:rPr>
          <w:b/>
          <w:sz w:val="23"/>
        </w:rPr>
      </w:pP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5" w:lineRule="auto"/>
        <w:ind w:right="588"/>
      </w:pPr>
      <w:r>
        <w:rPr>
          <w:color w:val="212121"/>
        </w:rPr>
        <w:t>You’ll need to know where and when to drop children off and pick them up, as well as what parts of the school you can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access.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37" w:lineRule="auto"/>
        <w:ind w:right="187"/>
      </w:pPr>
      <w:r>
        <w:rPr>
          <w:color w:val="212121"/>
        </w:rPr>
        <w:t xml:space="preserve">If your child travels to/from school independently, including on public transport, you should talk to your child about getting to </w:t>
      </w:r>
      <w:r>
        <w:rPr>
          <w:color w:val="212121"/>
        </w:rPr>
        <w:t>and from school, including observing the directions of Victoria’s Chief Health Officer (</w:t>
      </w:r>
      <w:proofErr w:type="spellStart"/>
      <w:r>
        <w:rPr>
          <w:color w:val="212121"/>
        </w:rPr>
        <w:t>ie</w:t>
      </w:r>
      <w:proofErr w:type="spellEnd"/>
      <w:r>
        <w:rPr>
          <w:color w:val="212121"/>
        </w:rPr>
        <w:t>. social distancing, group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gatherings).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/>
        <w:ind w:right="191"/>
      </w:pPr>
      <w:r>
        <w:rPr>
          <w:color w:val="212121"/>
        </w:rPr>
        <w:t xml:space="preserve">Your child will be expecting you at the end of the day so make sure </w:t>
      </w:r>
      <w:proofErr w:type="gramStart"/>
      <w:r>
        <w:rPr>
          <w:color w:val="212121"/>
        </w:rPr>
        <w:t>you, or whoever is collecting them</w:t>
      </w:r>
      <w:proofErr w:type="gramEnd"/>
      <w:r>
        <w:rPr>
          <w:color w:val="212121"/>
        </w:rPr>
        <w:t>, are there in the right</w:t>
      </w:r>
      <w:r>
        <w:rPr>
          <w:color w:val="212121"/>
        </w:rPr>
        <w:t xml:space="preserve"> place at the right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time.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4" w:lineRule="auto"/>
        <w:ind w:right="287"/>
      </w:pPr>
      <w:r>
        <w:rPr>
          <w:color w:val="212121"/>
        </w:rPr>
        <w:t>If your child travels home independently, make sure you, or another carer, is there to welcome them home and check-in about their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day.</w:t>
      </w:r>
    </w:p>
    <w:p w:rsidR="00721BD7" w:rsidRDefault="00721BD7">
      <w:pPr>
        <w:pStyle w:val="BodyText"/>
        <w:spacing w:before="3"/>
        <w:ind w:left="0" w:firstLine="0"/>
      </w:pPr>
    </w:p>
    <w:p w:rsidR="00721BD7" w:rsidRDefault="004836D4">
      <w:pPr>
        <w:pStyle w:val="Heading1"/>
        <w:numPr>
          <w:ilvl w:val="0"/>
          <w:numId w:val="2"/>
        </w:numPr>
        <w:tabs>
          <w:tab w:val="left" w:pos="317"/>
        </w:tabs>
        <w:ind w:hanging="217"/>
      </w:pPr>
      <w:r>
        <w:rPr>
          <w:color w:val="212121"/>
        </w:rPr>
        <w:t>End of day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emotions</w:t>
      </w:r>
    </w:p>
    <w:p w:rsidR="00721BD7" w:rsidRDefault="00721BD7">
      <w:pPr>
        <w:pStyle w:val="BodyText"/>
        <w:spacing w:before="8"/>
        <w:ind w:left="0" w:firstLine="0"/>
        <w:rPr>
          <w:b/>
        </w:rPr>
      </w:pP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99"/>
        <w:rPr>
          <w:b/>
        </w:rPr>
      </w:pPr>
      <w:r>
        <w:rPr>
          <w:color w:val="212121"/>
        </w:rPr>
        <w:t>For younger children in particular, a school day can require a lot of sel</w:t>
      </w:r>
      <w:r>
        <w:rPr>
          <w:color w:val="212121"/>
        </w:rPr>
        <w:t>f-regulation or compressed behaviour, which can lead to tired and emotional outbursts later on in the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day</w:t>
      </w:r>
      <w:r>
        <w:rPr>
          <w:b/>
          <w:color w:val="212121"/>
        </w:rPr>
        <w:t>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" w:line="237" w:lineRule="auto"/>
        <w:ind w:right="229"/>
      </w:pPr>
      <w:r>
        <w:rPr>
          <w:color w:val="212121"/>
        </w:rPr>
        <w:t>Given the length of remote learning and new school safety procedures in place, these emotions may be hard to cope with when they return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home.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44" w:lineRule="auto"/>
        <w:ind w:right="204"/>
      </w:pPr>
      <w:r>
        <w:rPr>
          <w:color w:val="212121"/>
        </w:rPr>
        <w:t>It is a</w:t>
      </w:r>
      <w:r>
        <w:rPr>
          <w:color w:val="212121"/>
        </w:rPr>
        <w:t xml:space="preserve"> good idea to keep this in mind, and allow some time for ‘letting off steam’ by encouraging children to unwind and play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outdoors.</w:t>
      </w:r>
    </w:p>
    <w:p w:rsidR="00721BD7" w:rsidRDefault="00721BD7">
      <w:pPr>
        <w:pStyle w:val="BodyText"/>
        <w:spacing w:before="4"/>
        <w:ind w:left="0" w:firstLine="0"/>
      </w:pPr>
    </w:p>
    <w:p w:rsidR="00721BD7" w:rsidRDefault="004836D4">
      <w:pPr>
        <w:pStyle w:val="Heading1"/>
        <w:numPr>
          <w:ilvl w:val="0"/>
          <w:numId w:val="2"/>
        </w:numPr>
        <w:tabs>
          <w:tab w:val="left" w:pos="317"/>
        </w:tabs>
        <w:ind w:hanging="217"/>
      </w:pPr>
      <w:r>
        <w:rPr>
          <w:color w:val="212121"/>
        </w:rPr>
        <w:t>Stay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informed</w:t>
      </w:r>
    </w:p>
    <w:p w:rsidR="00721BD7" w:rsidRDefault="00721BD7">
      <w:pPr>
        <w:pStyle w:val="BodyText"/>
        <w:spacing w:before="8"/>
        <w:ind w:left="0" w:firstLine="0"/>
        <w:rPr>
          <w:b/>
        </w:rPr>
      </w:pP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</w:pPr>
      <w:r>
        <w:rPr>
          <w:color w:val="212121"/>
        </w:rPr>
        <w:t>Given the long absence from school, there may be a period of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readjustment.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1" w:lineRule="auto"/>
        <w:ind w:right="707"/>
      </w:pPr>
      <w:r>
        <w:rPr>
          <w:color w:val="212121"/>
        </w:rPr>
        <w:t>Discuss and affirm familiar routines and school expectations regarding uniform, grooming, attendance and participation to help your child reconnect with their school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community.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6" w:lineRule="auto"/>
        <w:ind w:right="332"/>
      </w:pPr>
      <w:r>
        <w:rPr>
          <w:color w:val="212121"/>
        </w:rPr>
        <w:t xml:space="preserve">There may be fresh challenges for your child, from working with new classmates </w:t>
      </w:r>
      <w:r>
        <w:rPr>
          <w:color w:val="212121"/>
        </w:rPr>
        <w:t>and teachers, to coping with their work and school expectations /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‘rules’.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61" w:lineRule="auto"/>
        <w:ind w:right="668"/>
      </w:pPr>
      <w:r>
        <w:rPr>
          <w:color w:val="212121"/>
        </w:rPr>
        <w:t>Try to stay informed about how they are getting on – but if you are concerned, contact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the school office about speaking to the class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teacher.</w:t>
      </w:r>
    </w:p>
    <w:p w:rsidR="00721BD7" w:rsidRDefault="00721BD7">
      <w:pPr>
        <w:pStyle w:val="BodyText"/>
        <w:spacing w:before="5"/>
        <w:ind w:left="0" w:firstLine="0"/>
      </w:pPr>
    </w:p>
    <w:p w:rsidR="00721BD7" w:rsidRDefault="004836D4">
      <w:pPr>
        <w:pStyle w:val="Heading1"/>
        <w:numPr>
          <w:ilvl w:val="0"/>
          <w:numId w:val="2"/>
        </w:numPr>
        <w:tabs>
          <w:tab w:val="left" w:pos="317"/>
        </w:tabs>
        <w:ind w:hanging="217"/>
      </w:pPr>
      <w:r>
        <w:rPr>
          <w:color w:val="212121"/>
        </w:rPr>
        <w:t>Sleep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rest</w:t>
      </w:r>
    </w:p>
    <w:p w:rsidR="00721BD7" w:rsidRDefault="00721BD7">
      <w:pPr>
        <w:pStyle w:val="BodyText"/>
        <w:spacing w:before="3"/>
        <w:ind w:left="0" w:firstLine="0"/>
        <w:rPr>
          <w:b/>
          <w:sz w:val="23"/>
        </w:rPr>
      </w:pP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447"/>
      </w:pPr>
      <w:r>
        <w:rPr>
          <w:color w:val="212121"/>
        </w:rPr>
        <w:t>Your children may have</w:t>
      </w:r>
      <w:r>
        <w:rPr>
          <w:color w:val="212121"/>
        </w:rPr>
        <w:t xml:space="preserve"> been getting used to some unusual hours during the remote learning period and that may have extended into the school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holidays.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79" w:lineRule="exact"/>
      </w:pPr>
      <w:r>
        <w:rPr>
          <w:color w:val="212121"/>
        </w:rPr>
        <w:t>Make sure children are getting a good night’s sleep for their return to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school.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716"/>
      </w:pPr>
      <w:r>
        <w:rPr>
          <w:color w:val="212121"/>
        </w:rPr>
        <w:t>It might mean introducing some earlier bedtimes than they have had recently and limiting screen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time.</w:t>
      </w:r>
    </w:p>
    <w:p w:rsidR="00721BD7" w:rsidRDefault="004836D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/>
        <w:ind w:right="236"/>
      </w:pPr>
      <w:r>
        <w:rPr>
          <w:color w:val="212121"/>
        </w:rPr>
        <w:t>A good night’s rest will help them cope with the return to school and the new routines they will be adapting</w:t>
      </w:r>
      <w:r>
        <w:rPr>
          <w:color w:val="212121"/>
          <w:spacing w:val="-4"/>
        </w:rPr>
        <w:t xml:space="preserve"> </w:t>
      </w:r>
      <w:proofErr w:type="gramStart"/>
      <w:r>
        <w:rPr>
          <w:color w:val="212121"/>
        </w:rPr>
        <w:t>to</w:t>
      </w:r>
      <w:proofErr w:type="gramEnd"/>
      <w:r>
        <w:rPr>
          <w:color w:val="212121"/>
        </w:rPr>
        <w:t>.</w:t>
      </w:r>
    </w:p>
    <w:sectPr w:rsidR="00721BD7">
      <w:pgSz w:w="11910" w:h="16840"/>
      <w:pgMar w:top="10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210"/>
    <w:multiLevelType w:val="hybridMultilevel"/>
    <w:tmpl w:val="2F622D9C"/>
    <w:lvl w:ilvl="0" w:tplc="1820F464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color w:val="212121"/>
        <w:spacing w:val="-2"/>
        <w:w w:val="100"/>
        <w:sz w:val="22"/>
        <w:szCs w:val="22"/>
        <w:lang w:val="en-AU" w:eastAsia="en-US" w:bidi="ar-SA"/>
      </w:rPr>
    </w:lvl>
    <w:lvl w:ilvl="1" w:tplc="55306FDA">
      <w:numFmt w:val="bullet"/>
      <w:lvlText w:val="•"/>
      <w:lvlJc w:val="left"/>
      <w:pPr>
        <w:ind w:left="1210" w:hanging="216"/>
      </w:pPr>
      <w:rPr>
        <w:rFonts w:hint="default"/>
        <w:lang w:val="en-AU" w:eastAsia="en-US" w:bidi="ar-SA"/>
      </w:rPr>
    </w:lvl>
    <w:lvl w:ilvl="2" w:tplc="9A48476C">
      <w:numFmt w:val="bullet"/>
      <w:lvlText w:val="•"/>
      <w:lvlJc w:val="left"/>
      <w:pPr>
        <w:ind w:left="2100" w:hanging="216"/>
      </w:pPr>
      <w:rPr>
        <w:rFonts w:hint="default"/>
        <w:lang w:val="en-AU" w:eastAsia="en-US" w:bidi="ar-SA"/>
      </w:rPr>
    </w:lvl>
    <w:lvl w:ilvl="3" w:tplc="8ACAFD9C">
      <w:numFmt w:val="bullet"/>
      <w:lvlText w:val="•"/>
      <w:lvlJc w:val="left"/>
      <w:pPr>
        <w:ind w:left="2991" w:hanging="216"/>
      </w:pPr>
      <w:rPr>
        <w:rFonts w:hint="default"/>
        <w:lang w:val="en-AU" w:eastAsia="en-US" w:bidi="ar-SA"/>
      </w:rPr>
    </w:lvl>
    <w:lvl w:ilvl="4" w:tplc="DFCAE2B6">
      <w:numFmt w:val="bullet"/>
      <w:lvlText w:val="•"/>
      <w:lvlJc w:val="left"/>
      <w:pPr>
        <w:ind w:left="3881" w:hanging="216"/>
      </w:pPr>
      <w:rPr>
        <w:rFonts w:hint="default"/>
        <w:lang w:val="en-AU" w:eastAsia="en-US" w:bidi="ar-SA"/>
      </w:rPr>
    </w:lvl>
    <w:lvl w:ilvl="5" w:tplc="E30833BA">
      <w:numFmt w:val="bullet"/>
      <w:lvlText w:val="•"/>
      <w:lvlJc w:val="left"/>
      <w:pPr>
        <w:ind w:left="4772" w:hanging="216"/>
      </w:pPr>
      <w:rPr>
        <w:rFonts w:hint="default"/>
        <w:lang w:val="en-AU" w:eastAsia="en-US" w:bidi="ar-SA"/>
      </w:rPr>
    </w:lvl>
    <w:lvl w:ilvl="6" w:tplc="AF60996A">
      <w:numFmt w:val="bullet"/>
      <w:lvlText w:val="•"/>
      <w:lvlJc w:val="left"/>
      <w:pPr>
        <w:ind w:left="5662" w:hanging="216"/>
      </w:pPr>
      <w:rPr>
        <w:rFonts w:hint="default"/>
        <w:lang w:val="en-AU" w:eastAsia="en-US" w:bidi="ar-SA"/>
      </w:rPr>
    </w:lvl>
    <w:lvl w:ilvl="7" w:tplc="DD08F93E">
      <w:numFmt w:val="bullet"/>
      <w:lvlText w:val="•"/>
      <w:lvlJc w:val="left"/>
      <w:pPr>
        <w:ind w:left="6552" w:hanging="216"/>
      </w:pPr>
      <w:rPr>
        <w:rFonts w:hint="default"/>
        <w:lang w:val="en-AU" w:eastAsia="en-US" w:bidi="ar-SA"/>
      </w:rPr>
    </w:lvl>
    <w:lvl w:ilvl="8" w:tplc="664C0D94">
      <w:numFmt w:val="bullet"/>
      <w:lvlText w:val="•"/>
      <w:lvlJc w:val="left"/>
      <w:pPr>
        <w:ind w:left="7443" w:hanging="216"/>
      </w:pPr>
      <w:rPr>
        <w:rFonts w:hint="default"/>
        <w:lang w:val="en-AU" w:eastAsia="en-US" w:bidi="ar-SA"/>
      </w:rPr>
    </w:lvl>
  </w:abstractNum>
  <w:abstractNum w:abstractNumId="1" w15:restartNumberingAfterBreak="0">
    <w:nsid w:val="401C3DC6"/>
    <w:multiLevelType w:val="hybridMultilevel"/>
    <w:tmpl w:val="4E8E0BA0"/>
    <w:lvl w:ilvl="0" w:tplc="6BD083AA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color w:val="212121"/>
        <w:w w:val="100"/>
        <w:sz w:val="22"/>
        <w:szCs w:val="22"/>
        <w:lang w:val="en-AU" w:eastAsia="en-US" w:bidi="ar-SA"/>
      </w:rPr>
    </w:lvl>
    <w:lvl w:ilvl="1" w:tplc="B14093D6">
      <w:numFmt w:val="bullet"/>
      <w:lvlText w:val="•"/>
      <w:lvlJc w:val="left"/>
      <w:pPr>
        <w:ind w:left="1336" w:hanging="361"/>
      </w:pPr>
      <w:rPr>
        <w:rFonts w:hint="default"/>
        <w:lang w:val="en-AU" w:eastAsia="en-US" w:bidi="ar-SA"/>
      </w:rPr>
    </w:lvl>
    <w:lvl w:ilvl="2" w:tplc="1A4E692E">
      <w:numFmt w:val="bullet"/>
      <w:lvlText w:val="•"/>
      <w:lvlJc w:val="left"/>
      <w:pPr>
        <w:ind w:left="2212" w:hanging="361"/>
      </w:pPr>
      <w:rPr>
        <w:rFonts w:hint="default"/>
        <w:lang w:val="en-AU" w:eastAsia="en-US" w:bidi="ar-SA"/>
      </w:rPr>
    </w:lvl>
    <w:lvl w:ilvl="3" w:tplc="9006B906">
      <w:numFmt w:val="bullet"/>
      <w:lvlText w:val="•"/>
      <w:lvlJc w:val="left"/>
      <w:pPr>
        <w:ind w:left="3089" w:hanging="361"/>
      </w:pPr>
      <w:rPr>
        <w:rFonts w:hint="default"/>
        <w:lang w:val="en-AU" w:eastAsia="en-US" w:bidi="ar-SA"/>
      </w:rPr>
    </w:lvl>
    <w:lvl w:ilvl="4" w:tplc="D50A5F60">
      <w:numFmt w:val="bullet"/>
      <w:lvlText w:val="•"/>
      <w:lvlJc w:val="left"/>
      <w:pPr>
        <w:ind w:left="3965" w:hanging="361"/>
      </w:pPr>
      <w:rPr>
        <w:rFonts w:hint="default"/>
        <w:lang w:val="en-AU" w:eastAsia="en-US" w:bidi="ar-SA"/>
      </w:rPr>
    </w:lvl>
    <w:lvl w:ilvl="5" w:tplc="3DF0A668">
      <w:numFmt w:val="bullet"/>
      <w:lvlText w:val="•"/>
      <w:lvlJc w:val="left"/>
      <w:pPr>
        <w:ind w:left="4842" w:hanging="361"/>
      </w:pPr>
      <w:rPr>
        <w:rFonts w:hint="default"/>
        <w:lang w:val="en-AU" w:eastAsia="en-US" w:bidi="ar-SA"/>
      </w:rPr>
    </w:lvl>
    <w:lvl w:ilvl="6" w:tplc="693225BA">
      <w:numFmt w:val="bullet"/>
      <w:lvlText w:val="•"/>
      <w:lvlJc w:val="left"/>
      <w:pPr>
        <w:ind w:left="5718" w:hanging="361"/>
      </w:pPr>
      <w:rPr>
        <w:rFonts w:hint="default"/>
        <w:lang w:val="en-AU" w:eastAsia="en-US" w:bidi="ar-SA"/>
      </w:rPr>
    </w:lvl>
    <w:lvl w:ilvl="7" w:tplc="AA368292">
      <w:numFmt w:val="bullet"/>
      <w:lvlText w:val="•"/>
      <w:lvlJc w:val="left"/>
      <w:pPr>
        <w:ind w:left="6594" w:hanging="361"/>
      </w:pPr>
      <w:rPr>
        <w:rFonts w:hint="default"/>
        <w:lang w:val="en-AU" w:eastAsia="en-US" w:bidi="ar-SA"/>
      </w:rPr>
    </w:lvl>
    <w:lvl w:ilvl="8" w:tplc="A5A2E912">
      <w:numFmt w:val="bullet"/>
      <w:lvlText w:val="•"/>
      <w:lvlJc w:val="left"/>
      <w:pPr>
        <w:ind w:left="7471" w:hanging="361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1BD7"/>
    <w:rsid w:val="004836D4"/>
    <w:rsid w:val="007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CBBE"/>
  <w15:docId w15:val="{CAB7B079-BD3D-47FF-93C6-9358EA7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1"/>
    <w:qFormat/>
    <w:pPr>
      <w:ind w:left="316" w:hanging="2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entinfo.org/article/returning-to-school-7-tips-to-help-your-primary-age-child-co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Company>TCS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advice for parents and carers (primary)</dc:title>
  <dc:subject>Returning to school: 7 tips for parents/carers to help children cope (Primary).</dc:subject>
  <cp:keywords>returning to school, return to onsite learning, advice for parents, advice for carers, tips to help children cope, primary schools</cp:keywords>
  <cp:lastModifiedBy>Lindy Smith</cp:lastModifiedBy>
  <cp:revision>2</cp:revision>
  <dcterms:created xsi:type="dcterms:W3CDTF">2020-10-07T22:13:00Z</dcterms:created>
  <dcterms:modified xsi:type="dcterms:W3CDTF">2020-10-07T22:14:00Z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