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7D" w:rsidRPr="00F87B96" w:rsidRDefault="00B5787C" w:rsidP="00B5787C">
      <w:pPr>
        <w:jc w:val="center"/>
        <w:rPr>
          <w:b/>
          <w:sz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-152400</wp:posOffset>
            </wp:positionV>
            <wp:extent cx="12954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82" y="21120"/>
                <wp:lineTo x="21282" y="0"/>
                <wp:lineTo x="0" y="0"/>
              </wp:wrapPolygon>
            </wp:wrapTight>
            <wp:docPr id="2" name="Picture 2" descr="Image result for mcclelland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cclelland colle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07D" w:rsidRPr="00F87B96">
        <w:rPr>
          <w:b/>
          <w:sz w:val="32"/>
        </w:rPr>
        <w:t xml:space="preserve">McClelland College </w:t>
      </w:r>
      <w:r w:rsidR="00722E9F">
        <w:rPr>
          <w:b/>
          <w:sz w:val="32"/>
        </w:rPr>
        <w:t xml:space="preserve">Classroom Learning and </w:t>
      </w:r>
      <w:r w:rsidR="00F87B96" w:rsidRPr="00F87B96">
        <w:rPr>
          <w:b/>
          <w:sz w:val="32"/>
        </w:rPr>
        <w:t xml:space="preserve">School Based </w:t>
      </w:r>
      <w:r w:rsidR="0014007D" w:rsidRPr="00F87B96">
        <w:rPr>
          <w:b/>
          <w:sz w:val="32"/>
        </w:rPr>
        <w:t>Special Provision I</w:t>
      </w:r>
      <w:r w:rsidR="00361FB6" w:rsidRPr="00F87B96">
        <w:rPr>
          <w:b/>
          <w:sz w:val="32"/>
        </w:rPr>
        <w:t>nformation</w:t>
      </w:r>
    </w:p>
    <w:p w:rsidR="005D71EB" w:rsidRDefault="005D71EB"/>
    <w:p w:rsidR="005D71EB" w:rsidRDefault="005D71EB"/>
    <w:p w:rsidR="005D71EB" w:rsidRPr="003939E0" w:rsidRDefault="005D71EB">
      <w:pPr>
        <w:rPr>
          <w:b/>
        </w:rPr>
      </w:pPr>
      <w:r w:rsidRPr="003939E0">
        <w:rPr>
          <w:b/>
        </w:rPr>
        <w:t>What is special provision?</w:t>
      </w:r>
    </w:p>
    <w:p w:rsidR="005D71EB" w:rsidRPr="005D71EB" w:rsidRDefault="005D71EB" w:rsidP="005D71EB">
      <w:pPr>
        <w:rPr>
          <w:lang w:val="en-AU"/>
        </w:rPr>
      </w:pPr>
    </w:p>
    <w:p w:rsidR="00A752B1" w:rsidRPr="005D71EB" w:rsidRDefault="005D71EB" w:rsidP="005D71EB">
      <w:pPr>
        <w:numPr>
          <w:ilvl w:val="0"/>
          <w:numId w:val="4"/>
        </w:numPr>
        <w:rPr>
          <w:lang w:val="en-AU"/>
        </w:rPr>
      </w:pPr>
      <w:r w:rsidRPr="005D71EB">
        <w:t>Special Provision provides stu</w:t>
      </w:r>
      <w:r>
        <w:t xml:space="preserve">dents in defined circumstances </w:t>
      </w:r>
      <w:r w:rsidRPr="005D71EB">
        <w:t>with the opportunity to parti</w:t>
      </w:r>
      <w:r w:rsidR="00607B16">
        <w:t>cipate in and complete their</w:t>
      </w:r>
      <w:r w:rsidR="007C7CB2">
        <w:t xml:space="preserve"> </w:t>
      </w:r>
      <w:r w:rsidR="00607B16">
        <w:t>VCE</w:t>
      </w:r>
      <w:r w:rsidR="007C7CB2">
        <w:t xml:space="preserve"> studies</w:t>
      </w:r>
      <w:r w:rsidR="00623EC5">
        <w:t xml:space="preserve">. </w:t>
      </w:r>
      <w:r w:rsidRPr="005D71EB">
        <w:t xml:space="preserve"> </w:t>
      </w:r>
      <w:r w:rsidR="00623EC5">
        <w:t>I</w:t>
      </w:r>
      <w:r w:rsidRPr="005D71EB">
        <w:t xml:space="preserve">t is designed to help students achieve their VCE within the timeframe comparable to their peers.  </w:t>
      </w:r>
    </w:p>
    <w:p w:rsidR="00A752B1" w:rsidRPr="005D71EB" w:rsidRDefault="005D71EB" w:rsidP="005D71EB">
      <w:pPr>
        <w:numPr>
          <w:ilvl w:val="0"/>
          <w:numId w:val="4"/>
        </w:numPr>
        <w:rPr>
          <w:lang w:val="en-AU"/>
        </w:rPr>
      </w:pPr>
      <w:r w:rsidRPr="005D71EB">
        <w:t xml:space="preserve">Students granted special provision are not exempt from meeting the requirements for satisfactory completion or from being assessed against the outcomes for a study. </w:t>
      </w:r>
    </w:p>
    <w:p w:rsidR="00A752B1" w:rsidRPr="005D71EB" w:rsidRDefault="005D71EB" w:rsidP="005D71EB">
      <w:pPr>
        <w:numPr>
          <w:ilvl w:val="0"/>
          <w:numId w:val="4"/>
        </w:numPr>
        <w:rPr>
          <w:lang w:val="en-AU"/>
        </w:rPr>
      </w:pPr>
      <w:r w:rsidRPr="005D71EB">
        <w:rPr>
          <w:lang w:val="en-AU"/>
        </w:rPr>
        <w:t>Underlying principle of special provision is to ensure that the most appropriate, fair and reasonable arrangements and options are available for students to demonstrate their capabilities</w:t>
      </w:r>
      <w:r w:rsidR="00607B16">
        <w:rPr>
          <w:lang w:val="en-AU"/>
        </w:rPr>
        <w:t xml:space="preserve">, if their learning and assessment programs are affected by illness, impairment or personal circumstances. Special Provision </w:t>
      </w:r>
      <w:r w:rsidRPr="005D71EB">
        <w:rPr>
          <w:lang w:val="en-AU"/>
        </w:rPr>
        <w:t>should provide equivalent alternative arrangements</w:t>
      </w:r>
      <w:r w:rsidR="00607B16">
        <w:rPr>
          <w:lang w:val="en-AU"/>
        </w:rPr>
        <w:t xml:space="preserve"> for students</w:t>
      </w:r>
      <w:r w:rsidRPr="005D71EB">
        <w:rPr>
          <w:lang w:val="en-AU"/>
        </w:rPr>
        <w:t xml:space="preserve"> but not confer an advantage</w:t>
      </w:r>
      <w:r w:rsidR="00607B16">
        <w:rPr>
          <w:lang w:val="en-AU"/>
        </w:rPr>
        <w:t xml:space="preserve"> over other students</w:t>
      </w:r>
      <w:r w:rsidRPr="005D71EB">
        <w:rPr>
          <w:lang w:val="en-AU"/>
        </w:rPr>
        <w:t>.</w:t>
      </w:r>
    </w:p>
    <w:p w:rsidR="005D71EB" w:rsidRDefault="005D71EB"/>
    <w:p w:rsidR="005D71EB" w:rsidRPr="003939E0" w:rsidRDefault="005D71EB">
      <w:pPr>
        <w:rPr>
          <w:b/>
        </w:rPr>
      </w:pPr>
      <w:r w:rsidRPr="003939E0">
        <w:rPr>
          <w:b/>
        </w:rPr>
        <w:t xml:space="preserve">Eligibility for </w:t>
      </w:r>
      <w:r w:rsidR="00722E9F">
        <w:rPr>
          <w:b/>
        </w:rPr>
        <w:t xml:space="preserve">classroom learning and </w:t>
      </w:r>
      <w:r w:rsidR="003939E0">
        <w:rPr>
          <w:b/>
        </w:rPr>
        <w:t xml:space="preserve">school based </w:t>
      </w:r>
      <w:r w:rsidRPr="003939E0">
        <w:rPr>
          <w:b/>
        </w:rPr>
        <w:t>special provision.</w:t>
      </w:r>
    </w:p>
    <w:p w:rsidR="005D71EB" w:rsidRDefault="005D71EB"/>
    <w:p w:rsidR="005D71EB" w:rsidRPr="005D71EB" w:rsidRDefault="005D71EB" w:rsidP="005D71EB">
      <w:pPr>
        <w:rPr>
          <w:lang w:val="en-AU"/>
        </w:rPr>
      </w:pPr>
      <w:r w:rsidRPr="005D71EB">
        <w:rPr>
          <w:lang w:val="en-AU"/>
        </w:rPr>
        <w:t xml:space="preserve">Students may be eligible for </w:t>
      </w:r>
      <w:r w:rsidR="00722E9F">
        <w:rPr>
          <w:lang w:val="en-AU"/>
        </w:rPr>
        <w:t>classroom learning and school based special p</w:t>
      </w:r>
      <w:r w:rsidRPr="005D71EB">
        <w:rPr>
          <w:lang w:val="en-AU"/>
        </w:rPr>
        <w:t>rovision if, at any time while studying VCE they are adversely affected in a significant way by</w:t>
      </w:r>
    </w:p>
    <w:p w:rsidR="00A752B1" w:rsidRPr="005D71EB" w:rsidRDefault="00623EC5" w:rsidP="005D71EB">
      <w:pPr>
        <w:numPr>
          <w:ilvl w:val="0"/>
          <w:numId w:val="5"/>
        </w:numPr>
        <w:rPr>
          <w:lang w:val="en-AU"/>
        </w:rPr>
      </w:pPr>
      <w:r>
        <w:rPr>
          <w:lang w:val="en-AU"/>
        </w:rPr>
        <w:t>An acute or chronic illness (</w:t>
      </w:r>
      <w:r w:rsidR="005D71EB" w:rsidRPr="005D71EB">
        <w:rPr>
          <w:lang w:val="en-AU"/>
        </w:rPr>
        <w:t>physical or psychological)</w:t>
      </w:r>
    </w:p>
    <w:p w:rsidR="00A752B1" w:rsidRPr="005D71EB" w:rsidRDefault="00722E9F" w:rsidP="005D71EB">
      <w:pPr>
        <w:numPr>
          <w:ilvl w:val="0"/>
          <w:numId w:val="5"/>
        </w:numPr>
        <w:rPr>
          <w:lang w:val="en-AU"/>
        </w:rPr>
      </w:pPr>
      <w:r>
        <w:rPr>
          <w:lang w:val="en-AU"/>
        </w:rPr>
        <w:t>F</w:t>
      </w:r>
      <w:r w:rsidR="005D71EB" w:rsidRPr="005D71EB">
        <w:rPr>
          <w:lang w:val="en-AU"/>
        </w:rPr>
        <w:t xml:space="preserve">actors </w:t>
      </w:r>
      <w:r>
        <w:rPr>
          <w:lang w:val="en-AU"/>
        </w:rPr>
        <w:t>relating to personal circumstances</w:t>
      </w:r>
    </w:p>
    <w:p w:rsidR="00A752B1" w:rsidRPr="005D71EB" w:rsidRDefault="005D71EB" w:rsidP="005D71EB">
      <w:pPr>
        <w:numPr>
          <w:ilvl w:val="0"/>
          <w:numId w:val="5"/>
        </w:numPr>
        <w:rPr>
          <w:lang w:val="en-AU"/>
        </w:rPr>
      </w:pPr>
      <w:r w:rsidRPr="005D71EB">
        <w:rPr>
          <w:lang w:val="en-AU"/>
        </w:rPr>
        <w:t>An impairment or disability,</w:t>
      </w:r>
      <w:r w:rsidR="00722E9F">
        <w:rPr>
          <w:lang w:val="en-AU"/>
        </w:rPr>
        <w:t xml:space="preserve"> including learning disorders</w:t>
      </w:r>
    </w:p>
    <w:p w:rsidR="00A752B1" w:rsidRPr="005D71EB" w:rsidRDefault="005D71EB" w:rsidP="005D71EB">
      <w:pPr>
        <w:numPr>
          <w:ilvl w:val="0"/>
          <w:numId w:val="5"/>
        </w:numPr>
        <w:rPr>
          <w:lang w:val="en-AU"/>
        </w:rPr>
      </w:pPr>
      <w:r w:rsidRPr="005D71EB">
        <w:rPr>
          <w:lang w:val="en-AU"/>
        </w:rPr>
        <w:t>These circumstances do not include matters or situations of the students own choosing such as involvement in social or sporting activities or school events.</w:t>
      </w:r>
    </w:p>
    <w:p w:rsidR="00A752B1" w:rsidRDefault="005D71EB" w:rsidP="005D71EB">
      <w:pPr>
        <w:numPr>
          <w:ilvl w:val="0"/>
          <w:numId w:val="5"/>
        </w:numPr>
        <w:rPr>
          <w:lang w:val="en-AU"/>
        </w:rPr>
      </w:pPr>
      <w:r w:rsidRPr="005D71EB">
        <w:rPr>
          <w:lang w:val="en-AU"/>
        </w:rPr>
        <w:t>Prolonged absence from school or study is not in itself grounds for Special Provision</w:t>
      </w:r>
      <w:r w:rsidR="00722E9F">
        <w:rPr>
          <w:lang w:val="en-AU"/>
        </w:rPr>
        <w:t>, however provisions are available to students experiencing severe hardship that may result in prolonged absences</w:t>
      </w:r>
      <w:r w:rsidR="00C82714">
        <w:rPr>
          <w:lang w:val="en-AU"/>
        </w:rPr>
        <w:t>.</w:t>
      </w:r>
    </w:p>
    <w:p w:rsidR="00C82714" w:rsidRPr="005D71EB" w:rsidRDefault="00C82714" w:rsidP="005D71EB">
      <w:pPr>
        <w:numPr>
          <w:ilvl w:val="0"/>
          <w:numId w:val="5"/>
        </w:numPr>
        <w:rPr>
          <w:lang w:val="en-AU"/>
        </w:rPr>
      </w:pPr>
      <w:r>
        <w:rPr>
          <w:lang w:val="en-AU"/>
        </w:rPr>
        <w:t>Students who are eligible for integration funding may not necessarily meet the eligibility criteria for Special Provision in VCE</w:t>
      </w:r>
      <w:r w:rsidR="00623EC5">
        <w:rPr>
          <w:lang w:val="en-AU"/>
        </w:rPr>
        <w:t>.</w:t>
      </w:r>
    </w:p>
    <w:p w:rsidR="005D71EB" w:rsidRDefault="005D71EB"/>
    <w:p w:rsidR="005D71EB" w:rsidRDefault="00C82714">
      <w:r>
        <w:rPr>
          <w:b/>
        </w:rPr>
        <w:t xml:space="preserve">Classroom Learning and </w:t>
      </w:r>
      <w:r w:rsidR="003939E0" w:rsidRPr="003939E0">
        <w:rPr>
          <w:b/>
        </w:rPr>
        <w:t>School Based Special Provision</w:t>
      </w:r>
      <w:r w:rsidR="003939E0">
        <w:t>.</w:t>
      </w:r>
    </w:p>
    <w:p w:rsidR="003939E0" w:rsidRDefault="003939E0"/>
    <w:p w:rsidR="003939E0" w:rsidRDefault="003939E0" w:rsidP="003939E0">
      <w:pPr>
        <w:rPr>
          <w:lang w:val="en-AU"/>
        </w:rPr>
      </w:pPr>
      <w:r w:rsidRPr="003939E0">
        <w:rPr>
          <w:lang w:val="en-AU"/>
        </w:rPr>
        <w:t xml:space="preserve">The school is primarily responsible for determining eligibility and the nature of the provisions granted. </w:t>
      </w:r>
    </w:p>
    <w:p w:rsidR="00C82714" w:rsidRDefault="00C82714" w:rsidP="003939E0">
      <w:pPr>
        <w:rPr>
          <w:lang w:val="en-AU"/>
        </w:rPr>
      </w:pPr>
    </w:p>
    <w:p w:rsidR="003939E0" w:rsidRDefault="003939E0" w:rsidP="003939E0">
      <w:pPr>
        <w:rPr>
          <w:lang w:val="en-AU"/>
        </w:rPr>
      </w:pPr>
      <w:r>
        <w:rPr>
          <w:lang w:val="en-AU"/>
        </w:rPr>
        <w:t>Support may include any of the following.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Rescheduling</w:t>
      </w:r>
      <w:r w:rsidR="00151E39">
        <w:rPr>
          <w:lang w:val="en-AU"/>
        </w:rPr>
        <w:t xml:space="preserve"> classroom activities</w:t>
      </w:r>
      <w:r w:rsidRPr="003939E0">
        <w:rPr>
          <w:lang w:val="en-AU"/>
        </w:rPr>
        <w:t xml:space="preserve"> an</w:t>
      </w:r>
      <w:r w:rsidR="007A2BD5">
        <w:rPr>
          <w:lang w:val="en-AU"/>
        </w:rPr>
        <w:t>d/</w:t>
      </w:r>
      <w:r w:rsidR="00151E39">
        <w:rPr>
          <w:lang w:val="en-AU"/>
        </w:rPr>
        <w:t>or</w:t>
      </w:r>
      <w:r w:rsidR="007A2BD5">
        <w:rPr>
          <w:lang w:val="en-AU"/>
        </w:rPr>
        <w:t xml:space="preserve"> an</w:t>
      </w:r>
      <w:r w:rsidRPr="003939E0">
        <w:rPr>
          <w:lang w:val="en-AU"/>
        </w:rPr>
        <w:t xml:space="preserve"> assessment task</w:t>
      </w:r>
      <w:r w:rsidR="007A2BD5">
        <w:rPr>
          <w:lang w:val="en-AU"/>
        </w:rPr>
        <w:t>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Allowing the student</w:t>
      </w:r>
      <w:r w:rsidR="007A2BD5">
        <w:rPr>
          <w:lang w:val="en-AU"/>
        </w:rPr>
        <w:t xml:space="preserve"> extra time to complete work or an assessment task</w:t>
      </w:r>
      <w:r w:rsidR="00151E39">
        <w:rPr>
          <w:lang w:val="en-AU"/>
        </w:rPr>
        <w:t>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Setting a substitute task of the same type</w:t>
      </w:r>
      <w:r w:rsidR="00151E39">
        <w:rPr>
          <w:lang w:val="en-AU"/>
        </w:rPr>
        <w:t>.</w:t>
      </w:r>
    </w:p>
    <w:p w:rsidR="00A752B1" w:rsidRPr="003939E0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Replacing a task</w:t>
      </w:r>
      <w:r w:rsidR="007A2BD5">
        <w:rPr>
          <w:lang w:val="en-AU"/>
        </w:rPr>
        <w:t xml:space="preserve"> with a different type</w:t>
      </w:r>
      <w:r w:rsidR="00151E39">
        <w:rPr>
          <w:lang w:val="en-AU"/>
        </w:rPr>
        <w:t>.</w:t>
      </w:r>
    </w:p>
    <w:p w:rsidR="00670B6C" w:rsidRPr="00670B6C" w:rsidRDefault="003939E0" w:rsidP="00BC44F2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>Using a planned task to assess more outcomes or aspects of outcomes than originally intended</w:t>
      </w:r>
      <w:r w:rsidR="00151E39">
        <w:rPr>
          <w:lang w:val="en-AU"/>
        </w:rPr>
        <w:t>.</w:t>
      </w:r>
    </w:p>
    <w:p w:rsidR="00670B6C" w:rsidRPr="003939E0" w:rsidRDefault="00BC44F2" w:rsidP="003939E0">
      <w:pPr>
        <w:numPr>
          <w:ilvl w:val="0"/>
          <w:numId w:val="7"/>
        </w:numPr>
        <w:rPr>
          <w:lang w:val="en-AU"/>
        </w:rPr>
      </w:pPr>
      <w:r>
        <w:rPr>
          <w:lang w:val="en-AU"/>
        </w:rPr>
        <w:t>Using technology, aides or other special arrangements to complete</w:t>
      </w:r>
      <w:r w:rsidR="007A2BD5">
        <w:rPr>
          <w:lang w:val="en-AU"/>
        </w:rPr>
        <w:t xml:space="preserve"> classroom</w:t>
      </w:r>
      <w:r>
        <w:rPr>
          <w:lang w:val="en-AU"/>
        </w:rPr>
        <w:t xml:space="preserve"> learning and/or undertake assessment tasks.</w:t>
      </w:r>
    </w:p>
    <w:p w:rsidR="00A752B1" w:rsidRDefault="003939E0" w:rsidP="003939E0">
      <w:pPr>
        <w:numPr>
          <w:ilvl w:val="0"/>
          <w:numId w:val="7"/>
        </w:numPr>
        <w:rPr>
          <w:lang w:val="en-AU"/>
        </w:rPr>
      </w:pPr>
      <w:r w:rsidRPr="003939E0">
        <w:rPr>
          <w:lang w:val="en-AU"/>
        </w:rPr>
        <w:t xml:space="preserve">Deriving satisfactory completion of </w:t>
      </w:r>
      <w:r w:rsidR="00623EC5">
        <w:rPr>
          <w:lang w:val="en-AU"/>
        </w:rPr>
        <w:t>O</w:t>
      </w:r>
      <w:r w:rsidRPr="003939E0">
        <w:rPr>
          <w:lang w:val="en-AU"/>
        </w:rPr>
        <w:t>utcomes or a score from other assessments or work completed by the student.</w:t>
      </w:r>
    </w:p>
    <w:p w:rsidR="003939E0" w:rsidRPr="00630695" w:rsidRDefault="003939E0" w:rsidP="003939E0">
      <w:pPr>
        <w:pStyle w:val="ListParagraph"/>
        <w:numPr>
          <w:ilvl w:val="0"/>
          <w:numId w:val="7"/>
        </w:numPr>
      </w:pPr>
      <w:r w:rsidRPr="00630695">
        <w:lastRenderedPageBreak/>
        <w:t xml:space="preserve">The college has an attendance policy where students are </w:t>
      </w:r>
      <w:r w:rsidR="007A2BD5">
        <w:t>at risk of being able to gain a satisfactory result for the unit</w:t>
      </w:r>
      <w:r>
        <w:t xml:space="preserve"> if they have over 12 </w:t>
      </w:r>
      <w:r w:rsidRPr="00630695">
        <w:t>ab</w:t>
      </w:r>
      <w:r>
        <w:t xml:space="preserve">sences (including </w:t>
      </w:r>
      <w:proofErr w:type="spellStart"/>
      <w:r>
        <w:t>authorised</w:t>
      </w:r>
      <w:proofErr w:type="spellEnd"/>
      <w:r>
        <w:t xml:space="preserve"> and </w:t>
      </w:r>
      <w:proofErr w:type="spellStart"/>
      <w:r>
        <w:t>authorised</w:t>
      </w:r>
      <w:proofErr w:type="spellEnd"/>
      <w:r>
        <w:t>)</w:t>
      </w:r>
      <w:r w:rsidRPr="00630695">
        <w:t>.  Special Provision may mean you are exempt from this.</w:t>
      </w:r>
    </w:p>
    <w:p w:rsidR="003939E0" w:rsidRPr="00630695" w:rsidRDefault="00BE51FB" w:rsidP="003939E0">
      <w:pPr>
        <w:pStyle w:val="ListParagraph"/>
        <w:numPr>
          <w:ilvl w:val="0"/>
          <w:numId w:val="7"/>
        </w:numPr>
      </w:pPr>
      <w:r>
        <w:t>Support group which includes the student, a parent/guardian of the student, Year Level Educational Leader and a wellbeing representative.</w:t>
      </w:r>
    </w:p>
    <w:p w:rsidR="003939E0" w:rsidRPr="003939E0" w:rsidRDefault="003939E0" w:rsidP="003939E0">
      <w:pPr>
        <w:ind w:left="720"/>
        <w:rPr>
          <w:lang w:val="en-AU"/>
        </w:rPr>
      </w:pPr>
    </w:p>
    <w:p w:rsidR="0014007D" w:rsidRPr="00630695" w:rsidRDefault="0014007D"/>
    <w:p w:rsidR="0014007D" w:rsidRDefault="0014007D">
      <w:pPr>
        <w:rPr>
          <w:b/>
        </w:rPr>
      </w:pPr>
      <w:r w:rsidRPr="00630695">
        <w:rPr>
          <w:b/>
        </w:rPr>
        <w:t>What you need to do to apply:</w:t>
      </w:r>
    </w:p>
    <w:p w:rsidR="003939E0" w:rsidRDefault="003939E0">
      <w:pPr>
        <w:rPr>
          <w:b/>
        </w:rPr>
      </w:pP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 xml:space="preserve">Collect evidence in the form of a letter or recommendation from a medical professional </w:t>
      </w:r>
      <w:proofErr w:type="spellStart"/>
      <w:r w:rsidRPr="003939E0">
        <w:rPr>
          <w:lang w:val="en-AU"/>
        </w:rPr>
        <w:t>eg</w:t>
      </w:r>
      <w:proofErr w:type="spellEnd"/>
      <w:r w:rsidRPr="003939E0">
        <w:rPr>
          <w:lang w:val="en-AU"/>
        </w:rPr>
        <w:t xml:space="preserve">. Doctor, Psychologist, social worker. The letter should recommend strategies for how the school can support the student in their learning. 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 xml:space="preserve">Complete an application for </w:t>
      </w:r>
      <w:r w:rsidR="00F27B28">
        <w:rPr>
          <w:lang w:val="en-AU"/>
        </w:rPr>
        <w:t>Classroom Learning and</w:t>
      </w:r>
      <w:r w:rsidR="00501438">
        <w:rPr>
          <w:lang w:val="en-AU"/>
        </w:rPr>
        <w:t xml:space="preserve"> School-based Assessment</w:t>
      </w:r>
      <w:r w:rsidRPr="003939E0">
        <w:rPr>
          <w:lang w:val="en-AU"/>
        </w:rPr>
        <w:t>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>Return evidence and application form to Mrs Andrews</w:t>
      </w:r>
      <w:r>
        <w:rPr>
          <w:lang w:val="en-AU"/>
        </w:rPr>
        <w:t>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>Based on the evidence p</w:t>
      </w:r>
      <w:r w:rsidR="00AD7D13">
        <w:rPr>
          <w:lang w:val="en-AU"/>
        </w:rPr>
        <w:t>rovided, Mrs Andrews</w:t>
      </w:r>
      <w:r w:rsidRPr="003939E0">
        <w:rPr>
          <w:lang w:val="en-AU"/>
        </w:rPr>
        <w:t xml:space="preserve"> in consu</w:t>
      </w:r>
      <w:r w:rsidR="00AD7D13">
        <w:rPr>
          <w:lang w:val="en-AU"/>
        </w:rPr>
        <w:t xml:space="preserve">ltation with relevant others </w:t>
      </w:r>
      <w:proofErr w:type="spellStart"/>
      <w:r w:rsidR="00AD7D13">
        <w:rPr>
          <w:lang w:val="en-AU"/>
        </w:rPr>
        <w:t>ie</w:t>
      </w:r>
      <w:proofErr w:type="spellEnd"/>
      <w:r w:rsidR="00AD7D13">
        <w:rPr>
          <w:lang w:val="en-AU"/>
        </w:rPr>
        <w:t>. Mr Doherty, VCAA Integration aide, wellbeing representative</w:t>
      </w:r>
      <w:r w:rsidRPr="003939E0">
        <w:rPr>
          <w:lang w:val="en-AU"/>
        </w:rPr>
        <w:t>, parents</w:t>
      </w:r>
      <w:r w:rsidR="00AD7D13">
        <w:rPr>
          <w:lang w:val="en-AU"/>
        </w:rPr>
        <w:t xml:space="preserve">/guardians, </w:t>
      </w:r>
      <w:r w:rsidRPr="003939E0">
        <w:rPr>
          <w:lang w:val="en-AU"/>
        </w:rPr>
        <w:t>will make the decision to reflect the best interest of the student.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>
        <w:rPr>
          <w:lang w:val="en-AU"/>
        </w:rPr>
        <w:t>The student will be</w:t>
      </w:r>
      <w:r w:rsidRPr="003939E0">
        <w:rPr>
          <w:lang w:val="en-AU"/>
        </w:rPr>
        <w:t xml:space="preserve"> informed in writing of the outcome.</w:t>
      </w:r>
    </w:p>
    <w:p w:rsidR="003939E0" w:rsidRPr="003939E0" w:rsidRDefault="003939E0" w:rsidP="003939E0">
      <w:pPr>
        <w:pStyle w:val="ListParagraph"/>
        <w:numPr>
          <w:ilvl w:val="0"/>
          <w:numId w:val="8"/>
        </w:numPr>
        <w:rPr>
          <w:lang w:val="en-AU"/>
        </w:rPr>
      </w:pPr>
      <w:r w:rsidRPr="003939E0">
        <w:rPr>
          <w:lang w:val="en-AU"/>
        </w:rPr>
        <w:t>The student</w:t>
      </w:r>
      <w:r>
        <w:rPr>
          <w:lang w:val="en-AU"/>
        </w:rPr>
        <w:t>’</w:t>
      </w:r>
      <w:r w:rsidRPr="003939E0">
        <w:rPr>
          <w:lang w:val="en-AU"/>
        </w:rPr>
        <w:t>s teachers will be informed of the appropriate strategies.</w:t>
      </w:r>
    </w:p>
    <w:p w:rsidR="003939E0" w:rsidRPr="003939E0" w:rsidRDefault="003939E0"/>
    <w:p w:rsidR="00371589" w:rsidRDefault="00371589" w:rsidP="0014007D">
      <w:pPr>
        <w:rPr>
          <w:b/>
        </w:rPr>
      </w:pPr>
      <w:r w:rsidRPr="00630695">
        <w:rPr>
          <w:b/>
        </w:rPr>
        <w:t>Your responsibilities:</w:t>
      </w:r>
    </w:p>
    <w:p w:rsidR="00B5787C" w:rsidRPr="00630695" w:rsidRDefault="00B5787C" w:rsidP="0014007D">
      <w:pPr>
        <w:rPr>
          <w:b/>
        </w:rPr>
      </w:pPr>
    </w:p>
    <w:p w:rsidR="00371589" w:rsidRPr="00630695" w:rsidRDefault="003939E0" w:rsidP="00371589">
      <w:pPr>
        <w:pStyle w:val="ListParagraph"/>
        <w:numPr>
          <w:ilvl w:val="0"/>
          <w:numId w:val="3"/>
        </w:numPr>
      </w:pPr>
      <w:r>
        <w:t>You need to</w:t>
      </w:r>
      <w:r w:rsidR="00AD7D13">
        <w:t xml:space="preserve"> keep </w:t>
      </w:r>
      <w:proofErr w:type="spellStart"/>
      <w:r w:rsidR="00AD7D13">
        <w:t>Mrs</w:t>
      </w:r>
      <w:proofErr w:type="spellEnd"/>
      <w:r w:rsidR="00AD7D13">
        <w:t xml:space="preserve"> Andrews </w:t>
      </w:r>
      <w:r w:rsidR="00371589" w:rsidRPr="00630695">
        <w:t>informed of any changes in your circumstances</w:t>
      </w:r>
      <w:r>
        <w:t>.</w:t>
      </w:r>
    </w:p>
    <w:p w:rsidR="00371589" w:rsidRPr="00630695" w:rsidRDefault="00371589" w:rsidP="00371589">
      <w:pPr>
        <w:pStyle w:val="ListParagraph"/>
        <w:numPr>
          <w:ilvl w:val="0"/>
          <w:numId w:val="3"/>
        </w:numPr>
      </w:pPr>
      <w:r w:rsidRPr="00630695">
        <w:t>For prolonged periods of absence, you need to be able to meet the authentication requirem</w:t>
      </w:r>
      <w:r w:rsidR="00630695" w:rsidRPr="00630695">
        <w:t>ents of the VCE.  T</w:t>
      </w:r>
      <w:r w:rsidRPr="00630695">
        <w:t xml:space="preserve">his </w:t>
      </w:r>
      <w:r w:rsidR="004257BD" w:rsidRPr="00630695">
        <w:t>invol</w:t>
      </w:r>
      <w:r w:rsidR="003F1D28" w:rsidRPr="00630695">
        <w:t>ves completing a</w:t>
      </w:r>
      <w:r w:rsidR="005D71EB">
        <w:t xml:space="preserve"> journal.</w:t>
      </w:r>
      <w:r w:rsidR="003F1D28" w:rsidRPr="00630695">
        <w:t xml:space="preserve"> This journal </w:t>
      </w:r>
      <w:r w:rsidR="00630695" w:rsidRPr="00630695">
        <w:t>needs to</w:t>
      </w:r>
      <w:r w:rsidR="003F1D28" w:rsidRPr="00630695">
        <w:t xml:space="preserve"> be signed</w:t>
      </w:r>
      <w:r w:rsidR="00630695" w:rsidRPr="00630695">
        <w:t xml:space="preserve"> </w:t>
      </w:r>
      <w:r w:rsidR="00B5787C">
        <w:t>by a Parent or G</w:t>
      </w:r>
      <w:r w:rsidR="004257BD" w:rsidRPr="00630695">
        <w:t>uardian.</w:t>
      </w:r>
      <w:r w:rsidR="00630695" w:rsidRPr="00630695">
        <w:t xml:space="preserve"> The journal will need to be</w:t>
      </w:r>
      <w:r w:rsidR="00AD7D13">
        <w:t xml:space="preserve"> signed by </w:t>
      </w:r>
      <w:proofErr w:type="spellStart"/>
      <w:r w:rsidR="00630695" w:rsidRPr="00630695">
        <w:t>Mrs</w:t>
      </w:r>
      <w:proofErr w:type="spellEnd"/>
      <w:r w:rsidR="00630695" w:rsidRPr="00630695">
        <w:t xml:space="preserve"> Andrews at the end of each month.</w:t>
      </w:r>
    </w:p>
    <w:p w:rsidR="00371589" w:rsidRDefault="00371589" w:rsidP="00371589">
      <w:pPr>
        <w:pStyle w:val="ListParagraph"/>
        <w:numPr>
          <w:ilvl w:val="0"/>
          <w:numId w:val="3"/>
        </w:numPr>
      </w:pPr>
      <w:r w:rsidRPr="00630695">
        <w:t xml:space="preserve">Your attendance requirements may change, but you will need to meet these obligations. </w:t>
      </w:r>
    </w:p>
    <w:p w:rsidR="00F27B28" w:rsidRDefault="00F27B28" w:rsidP="005C117D">
      <w:pPr>
        <w:pStyle w:val="ListParagraph"/>
      </w:pPr>
    </w:p>
    <w:p w:rsidR="005C117D" w:rsidRPr="00630695" w:rsidRDefault="005C117D" w:rsidP="005C117D">
      <w:pPr>
        <w:pStyle w:val="ListParagraph"/>
      </w:pPr>
    </w:p>
    <w:p w:rsidR="00AD7D13" w:rsidRDefault="00371589" w:rsidP="00371589">
      <w:r w:rsidRPr="00630695">
        <w:t xml:space="preserve">NOTE: </w:t>
      </w:r>
      <w:r w:rsidR="00AD7D13">
        <w:t>Classroom learning and school based special p</w:t>
      </w:r>
      <w:r w:rsidRPr="00630695">
        <w:t xml:space="preserve">rovision does not entitle you to Special </w:t>
      </w:r>
      <w:r w:rsidR="00CA0CF6">
        <w:t>Examination Arrangements for</w:t>
      </w:r>
      <w:r w:rsidR="00AD7D13">
        <w:t xml:space="preserve"> VCE external </w:t>
      </w:r>
      <w:r w:rsidR="00CA0CF6">
        <w:t>assessments</w:t>
      </w:r>
      <w:r w:rsidRPr="00630695">
        <w:t xml:space="preserve">.  This is a different process.  You may be eligible to </w:t>
      </w:r>
      <w:r w:rsidR="00AD7D13">
        <w:t xml:space="preserve">apply </w:t>
      </w:r>
      <w:r w:rsidRPr="00630695">
        <w:t>for this, but you need to apply using a Special Exam</w:t>
      </w:r>
      <w:r w:rsidR="00AD7D13">
        <w:t>ination</w:t>
      </w:r>
      <w:r w:rsidRPr="00630695">
        <w:t xml:space="preserve"> Arrangement</w:t>
      </w:r>
      <w:r w:rsidR="00AD7D13">
        <w:t>s Application</w:t>
      </w:r>
      <w:r w:rsidR="002E6E04">
        <w:t xml:space="preserve"> form.</w:t>
      </w:r>
    </w:p>
    <w:p w:rsidR="002C066F" w:rsidRDefault="002C066F" w:rsidP="00371589"/>
    <w:p w:rsidR="002C066F" w:rsidRDefault="002C066F" w:rsidP="00371589"/>
    <w:p w:rsidR="002C066F" w:rsidRDefault="002C066F" w:rsidP="00371589"/>
    <w:p w:rsidR="002C066F" w:rsidRDefault="002C066F" w:rsidP="00371589"/>
    <w:p w:rsidR="00630695" w:rsidRPr="00630695" w:rsidRDefault="00630695" w:rsidP="0014007D">
      <w:bookmarkStart w:id="0" w:name="_GoBack"/>
      <w:bookmarkEnd w:id="0"/>
    </w:p>
    <w:sectPr w:rsidR="00630695" w:rsidRPr="00630695" w:rsidSect="00B57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F9" w:rsidRDefault="00E618F9" w:rsidP="002D6F92">
      <w:r>
        <w:separator/>
      </w:r>
    </w:p>
  </w:endnote>
  <w:endnote w:type="continuationSeparator" w:id="0">
    <w:p w:rsidR="00E618F9" w:rsidRDefault="00E618F9" w:rsidP="002D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F9" w:rsidRDefault="00E618F9" w:rsidP="002D6F92">
      <w:r>
        <w:separator/>
      </w:r>
    </w:p>
  </w:footnote>
  <w:footnote w:type="continuationSeparator" w:id="0">
    <w:p w:rsidR="00E618F9" w:rsidRDefault="00E618F9" w:rsidP="002D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92" w:rsidRDefault="002D6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B2F"/>
    <w:multiLevelType w:val="hybridMultilevel"/>
    <w:tmpl w:val="33C6963A"/>
    <w:lvl w:ilvl="0" w:tplc="971A384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D28DE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DC9A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5EE9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10A2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A67F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28BF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060F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6C6B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A0E4AAF"/>
    <w:multiLevelType w:val="hybridMultilevel"/>
    <w:tmpl w:val="D37C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39DA"/>
    <w:multiLevelType w:val="hybridMultilevel"/>
    <w:tmpl w:val="3020B414"/>
    <w:lvl w:ilvl="0" w:tplc="D8DC30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A56E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38A09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68EEA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508F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5000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ACE0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9ECD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00F05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4921DA9"/>
    <w:multiLevelType w:val="hybridMultilevel"/>
    <w:tmpl w:val="5CE41764"/>
    <w:lvl w:ilvl="0" w:tplc="D8DC3098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22A9C"/>
    <w:multiLevelType w:val="hybridMultilevel"/>
    <w:tmpl w:val="B45E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351B8"/>
    <w:multiLevelType w:val="hybridMultilevel"/>
    <w:tmpl w:val="7D442762"/>
    <w:lvl w:ilvl="0" w:tplc="4B207B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70923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00CC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FED6C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E2364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AA70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F265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1851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EE34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BBA15A1"/>
    <w:multiLevelType w:val="hybridMultilevel"/>
    <w:tmpl w:val="D380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77AEF"/>
    <w:multiLevelType w:val="hybridMultilevel"/>
    <w:tmpl w:val="EA241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7129F"/>
    <w:multiLevelType w:val="hybridMultilevel"/>
    <w:tmpl w:val="21425EFC"/>
    <w:lvl w:ilvl="0" w:tplc="742C2D9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249D4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EC79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C4D4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563EA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76D05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7E3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48A1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DACE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A794F46"/>
    <w:multiLevelType w:val="multilevel"/>
    <w:tmpl w:val="CBF2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7D"/>
    <w:rsid w:val="0014007D"/>
    <w:rsid w:val="00151E39"/>
    <w:rsid w:val="002045A8"/>
    <w:rsid w:val="00273C70"/>
    <w:rsid w:val="0028600E"/>
    <w:rsid w:val="002C066F"/>
    <w:rsid w:val="002D6F92"/>
    <w:rsid w:val="002E6E04"/>
    <w:rsid w:val="00361FB6"/>
    <w:rsid w:val="00371589"/>
    <w:rsid w:val="003939E0"/>
    <w:rsid w:val="003F1D28"/>
    <w:rsid w:val="004257BD"/>
    <w:rsid w:val="004D0F54"/>
    <w:rsid w:val="00501438"/>
    <w:rsid w:val="00547E87"/>
    <w:rsid w:val="005C117D"/>
    <w:rsid w:val="005D71EB"/>
    <w:rsid w:val="00607B16"/>
    <w:rsid w:val="00623EC5"/>
    <w:rsid w:val="00630695"/>
    <w:rsid w:val="00644F4C"/>
    <w:rsid w:val="00670B6C"/>
    <w:rsid w:val="006B2E11"/>
    <w:rsid w:val="00722E9F"/>
    <w:rsid w:val="007A17C6"/>
    <w:rsid w:val="007A2BD5"/>
    <w:rsid w:val="007B1D99"/>
    <w:rsid w:val="007C7CB2"/>
    <w:rsid w:val="00800AB4"/>
    <w:rsid w:val="009472C7"/>
    <w:rsid w:val="00A752B1"/>
    <w:rsid w:val="00AD7D13"/>
    <w:rsid w:val="00B5787C"/>
    <w:rsid w:val="00BC44F2"/>
    <w:rsid w:val="00BE51FB"/>
    <w:rsid w:val="00C82714"/>
    <w:rsid w:val="00CA0CF6"/>
    <w:rsid w:val="00DA33D2"/>
    <w:rsid w:val="00E40CC7"/>
    <w:rsid w:val="00E618F9"/>
    <w:rsid w:val="00F27B28"/>
    <w:rsid w:val="00F87B96"/>
    <w:rsid w:val="00FD0C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79DF2-801D-438C-B5EE-EF47C9B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0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6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F92"/>
  </w:style>
  <w:style w:type="paragraph" w:styleId="Footer">
    <w:name w:val="footer"/>
    <w:basedOn w:val="Normal"/>
    <w:link w:val="FooterChar"/>
    <w:uiPriority w:val="99"/>
    <w:unhideWhenUsed/>
    <w:rsid w:val="002D6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1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0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0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3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1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2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bts</dc:creator>
  <cp:keywords/>
  <cp:lastModifiedBy>ANR</cp:lastModifiedBy>
  <cp:revision>10</cp:revision>
  <cp:lastPrinted>2018-02-01T20:43:00Z</cp:lastPrinted>
  <dcterms:created xsi:type="dcterms:W3CDTF">2016-12-08T01:05:00Z</dcterms:created>
  <dcterms:modified xsi:type="dcterms:W3CDTF">2018-11-11T09:33:00Z</dcterms:modified>
</cp:coreProperties>
</file>